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81B25B" w14:textId="39A0DBDD" w:rsidR="00B93E00" w:rsidRPr="0005201B" w:rsidRDefault="00C77141" w:rsidP="00087294">
      <w:pPr>
        <w:spacing w:line="278" w:lineRule="auto"/>
        <w:ind w:right="102"/>
        <w:jc w:val="both"/>
        <w:rPr>
          <w:rFonts w:ascii="Calibri" w:hAnsi="Calibri"/>
          <w:sz w:val="48"/>
          <w:szCs w:val="48"/>
        </w:rPr>
      </w:pPr>
      <w:r w:rsidRPr="0005201B">
        <w:rPr>
          <w:rFonts w:ascii="Calibri" w:hAnsi="Calibri"/>
          <w:sz w:val="48"/>
          <w:szCs w:val="48"/>
        </w:rPr>
        <w:t xml:space="preserve">URBAN PLANNİNG AND </w:t>
      </w:r>
      <w:r w:rsidR="000228AD">
        <w:rPr>
          <w:rFonts w:ascii="Calibri" w:hAnsi="Calibri"/>
          <w:sz w:val="48"/>
          <w:szCs w:val="48"/>
        </w:rPr>
        <w:t xml:space="preserve">URBAN </w:t>
      </w:r>
      <w:r w:rsidRPr="0005201B">
        <w:rPr>
          <w:rFonts w:ascii="Calibri" w:hAnsi="Calibri"/>
          <w:sz w:val="48"/>
          <w:szCs w:val="48"/>
        </w:rPr>
        <w:t>STRUCTURE İN LATE OTTOMAN PALESTİNE</w:t>
      </w:r>
    </w:p>
    <w:p w14:paraId="10A42B79" w14:textId="77777777" w:rsidR="00B93E00" w:rsidRPr="00B93E00" w:rsidRDefault="00B93E00" w:rsidP="00087294">
      <w:pPr>
        <w:ind w:firstLine="284"/>
        <w:jc w:val="both"/>
        <w:rPr>
          <w:rFonts w:ascii="Calibri" w:hAnsi="Calibri"/>
        </w:rPr>
      </w:pPr>
    </w:p>
    <w:p w14:paraId="61D020CA" w14:textId="7A832C33" w:rsidR="00B93E00" w:rsidRPr="0005201B" w:rsidRDefault="0005201B" w:rsidP="00087294">
      <w:pPr>
        <w:jc w:val="both"/>
        <w:rPr>
          <w:rFonts w:ascii="Calibri" w:hAnsi="Calibri"/>
        </w:rPr>
      </w:pPr>
      <w:r w:rsidRPr="0005201B">
        <w:rPr>
          <w:rFonts w:ascii="Calibri" w:hAnsi="Calibri"/>
        </w:rPr>
        <w:t>ABDURRAHMAN MOHAMED</w:t>
      </w:r>
    </w:p>
    <w:p w14:paraId="7F422D45" w14:textId="6CB0CDA1" w:rsidR="0005201B" w:rsidRPr="0005201B" w:rsidRDefault="0005201B" w:rsidP="00087294">
      <w:pPr>
        <w:jc w:val="both"/>
        <w:rPr>
          <w:rFonts w:ascii="Calibri" w:hAnsi="Calibri"/>
          <w:b/>
          <w:sz w:val="20"/>
          <w:szCs w:val="20"/>
        </w:rPr>
      </w:pPr>
      <w:r w:rsidRPr="0005201B">
        <w:rPr>
          <w:rFonts w:ascii="Calibri" w:hAnsi="Calibri"/>
          <w:b/>
          <w:sz w:val="20"/>
          <w:szCs w:val="20"/>
        </w:rPr>
        <w:t>Abdurrahman Mohamed</w:t>
      </w:r>
      <w:r>
        <w:rPr>
          <w:rFonts w:ascii="Calibri" w:hAnsi="Calibri"/>
          <w:b/>
          <w:sz w:val="20"/>
          <w:szCs w:val="20"/>
        </w:rPr>
        <w:t xml:space="preserve">, </w:t>
      </w:r>
      <w:r w:rsidRPr="0005201B">
        <w:rPr>
          <w:rFonts w:ascii="Calibri" w:hAnsi="Calibri"/>
          <w:bCs/>
          <w:sz w:val="20"/>
          <w:szCs w:val="20"/>
        </w:rPr>
        <w:t>Associate Professor, Antalya Bilim University</w:t>
      </w:r>
      <w:r>
        <w:rPr>
          <w:rFonts w:ascii="Calibri" w:hAnsi="Calibri"/>
          <w:b/>
          <w:sz w:val="20"/>
          <w:szCs w:val="20"/>
        </w:rPr>
        <w:t>.</w:t>
      </w:r>
    </w:p>
    <w:p w14:paraId="46BCC49A" w14:textId="77777777" w:rsidR="0005201B" w:rsidRDefault="0005201B" w:rsidP="00087294">
      <w:pPr>
        <w:jc w:val="both"/>
        <w:rPr>
          <w:rFonts w:ascii="Calibri" w:hAnsi="Calibri"/>
          <w:sz w:val="20"/>
          <w:szCs w:val="20"/>
        </w:rPr>
      </w:pPr>
    </w:p>
    <w:p w14:paraId="6896D13A" w14:textId="77B4B64E" w:rsidR="00B93E00" w:rsidRDefault="00B93E00" w:rsidP="00087294">
      <w:pPr>
        <w:jc w:val="both"/>
        <w:rPr>
          <w:rFonts w:ascii="Calibri" w:hAnsi="Calibri"/>
          <w:b/>
          <w:sz w:val="20"/>
          <w:szCs w:val="20"/>
        </w:rPr>
      </w:pPr>
      <w:r w:rsidRPr="00B93E00">
        <w:rPr>
          <w:rFonts w:ascii="Calibri" w:hAnsi="Calibri"/>
          <w:b/>
          <w:sz w:val="20"/>
          <w:szCs w:val="20"/>
        </w:rPr>
        <w:t>Abstract</w:t>
      </w:r>
    </w:p>
    <w:p w14:paraId="4DC25E28" w14:textId="77777777" w:rsidR="0005201B" w:rsidRPr="0005201B" w:rsidRDefault="0005201B" w:rsidP="00087294">
      <w:pPr>
        <w:jc w:val="both"/>
        <w:rPr>
          <w:rFonts w:ascii="Calibri" w:eastAsia="Times New Roman" w:hAnsi="Calibri" w:cs="Arial"/>
          <w:color w:val="000000"/>
          <w:sz w:val="20"/>
          <w:szCs w:val="20"/>
        </w:rPr>
      </w:pPr>
      <w:r w:rsidRPr="0005201B">
        <w:rPr>
          <w:rFonts w:ascii="Calibri" w:eastAsia="Times New Roman" w:hAnsi="Calibri" w:cs="Arial"/>
          <w:color w:val="000000"/>
          <w:sz w:val="20"/>
          <w:szCs w:val="20"/>
        </w:rPr>
        <w:t xml:space="preserve">The Ottomans stayed in Palestine around 400 years characterized by great changes and developments. They significantly impinged the life of the Palestinians with numerous effects from language to the urban style and architecture. The Ottoman government controls depended upon the Islamic law and included several regulations for the built environment and the urban structure. The main government systems that included such laws and regulations are the administrative, judicial and land systems. This article depends on historical research to dig through these systems in order to explore the different controls they used over the Palestinian urban structures and to what extent did they established a comprehensive framework for the control and management of urban structures in Palestine. It was discovered that these systems did not establish such a framework which also did not exist outside the Ottoman Empire. Never the less, the dependance of these systems on Islamic laws provided them a unique and distinguished mechanisms that did not exist in other non-Ottoman systems. They also are considered significant developments in Islamic government systems and contributed positively to the development of Palestinian urban structures.  </w:t>
      </w:r>
    </w:p>
    <w:p w14:paraId="6AC2C9BE" w14:textId="17F8FACF" w:rsidR="0005201B" w:rsidRDefault="0005201B" w:rsidP="00087294">
      <w:pPr>
        <w:jc w:val="both"/>
        <w:rPr>
          <w:rFonts w:ascii="Calibri" w:eastAsia="Times New Roman" w:hAnsi="Calibri" w:cs="Arial"/>
          <w:color w:val="000000"/>
          <w:sz w:val="20"/>
          <w:szCs w:val="20"/>
        </w:rPr>
      </w:pPr>
      <w:r w:rsidRPr="0005201B">
        <w:rPr>
          <w:rFonts w:ascii="Calibri" w:eastAsia="Times New Roman" w:hAnsi="Calibri" w:cs="Arial"/>
          <w:color w:val="000000"/>
          <w:sz w:val="20"/>
          <w:szCs w:val="20"/>
        </w:rPr>
        <w:t>Keywords: urban planning, system, urban structure, Ottoman, Palestine</w:t>
      </w:r>
    </w:p>
    <w:p w14:paraId="45BA9936" w14:textId="77777777" w:rsidR="00087294" w:rsidRPr="00C77141" w:rsidRDefault="00087294" w:rsidP="00087294">
      <w:pPr>
        <w:jc w:val="both"/>
        <w:rPr>
          <w:rFonts w:ascii="Calibri" w:eastAsia="Times New Roman" w:hAnsi="Calibri" w:cs="Arial"/>
          <w:color w:val="000000"/>
          <w:sz w:val="20"/>
          <w:szCs w:val="20"/>
        </w:rPr>
      </w:pPr>
    </w:p>
    <w:p w14:paraId="5CB8D6F5" w14:textId="77777777" w:rsidR="0005201B" w:rsidRPr="0005201B" w:rsidRDefault="0005201B" w:rsidP="00087294">
      <w:pPr>
        <w:ind w:right="102"/>
        <w:jc w:val="both"/>
        <w:rPr>
          <w:rFonts w:asciiTheme="majorHAnsi" w:hAnsiTheme="majorHAnsi" w:cstheme="majorHAnsi"/>
          <w:b/>
          <w:bCs/>
          <w:sz w:val="20"/>
          <w:szCs w:val="20"/>
        </w:rPr>
      </w:pPr>
      <w:r w:rsidRPr="0005201B">
        <w:rPr>
          <w:rFonts w:asciiTheme="majorHAnsi" w:hAnsiTheme="majorHAnsi" w:cstheme="majorHAnsi"/>
          <w:b/>
          <w:bCs/>
          <w:sz w:val="20"/>
          <w:szCs w:val="20"/>
        </w:rPr>
        <w:t xml:space="preserve">Introduction </w:t>
      </w:r>
    </w:p>
    <w:p w14:paraId="3A1B5D9B" w14:textId="75D88FA3" w:rsidR="0005201B" w:rsidRPr="0005201B" w:rsidRDefault="0005201B" w:rsidP="001B1104">
      <w:pPr>
        <w:ind w:right="102"/>
        <w:jc w:val="both"/>
        <w:rPr>
          <w:rFonts w:asciiTheme="majorHAnsi" w:hAnsiTheme="majorHAnsi" w:cstheme="majorHAnsi"/>
          <w:sz w:val="20"/>
          <w:szCs w:val="20"/>
        </w:rPr>
      </w:pPr>
      <w:r w:rsidRPr="0005201B">
        <w:rPr>
          <w:rFonts w:asciiTheme="majorHAnsi" w:hAnsiTheme="majorHAnsi" w:cstheme="majorHAnsi"/>
          <w:sz w:val="20"/>
          <w:szCs w:val="20"/>
        </w:rPr>
        <w:t xml:space="preserve">This research aims at exploring the Ottoman urban planning system in Palestine from the late 19th century to 1918 and its effects on the urban structure in Palestine which includes the structures of Palestinian cities, towns and villages. Since a comprehensive urban planning system did not exist in Ottoman Palestine, the concern here is to explore the different means by which the Ottoman authorities influenced the development and growth of the Palestinian urban structure. </w:t>
      </w:r>
      <w:r w:rsidR="001B1104" w:rsidRPr="0005201B">
        <w:rPr>
          <w:rFonts w:asciiTheme="majorHAnsi" w:hAnsiTheme="majorHAnsi" w:cstheme="majorHAnsi"/>
          <w:sz w:val="20"/>
          <w:szCs w:val="20"/>
        </w:rPr>
        <w:t>T</w:t>
      </w:r>
      <w:r w:rsidRPr="0005201B">
        <w:rPr>
          <w:rFonts w:asciiTheme="majorHAnsi" w:hAnsiTheme="majorHAnsi" w:cstheme="majorHAnsi"/>
          <w:sz w:val="20"/>
          <w:szCs w:val="20"/>
        </w:rPr>
        <w:t>he Ottoman municipal and statutory regulations exerted some control over the construction and alignment of buildings and roads</w:t>
      </w:r>
      <w:r w:rsidR="00C77141">
        <w:rPr>
          <w:rFonts w:asciiTheme="majorHAnsi" w:hAnsiTheme="majorHAnsi" w:cstheme="majorHAnsi"/>
          <w:sz w:val="20"/>
          <w:szCs w:val="20"/>
        </w:rPr>
        <w:t xml:space="preserve"> </w:t>
      </w:r>
      <w:r w:rsidR="00C77141" w:rsidRPr="00C77141">
        <w:rPr>
          <w:rFonts w:asciiTheme="majorHAnsi" w:hAnsiTheme="majorHAnsi" w:cstheme="majorHAnsi"/>
          <w:sz w:val="20"/>
          <w:szCs w:val="20"/>
        </w:rPr>
        <w:t>(Goadby and Daukhan, 1991)</w:t>
      </w:r>
      <w:r w:rsidRPr="00C77141">
        <w:rPr>
          <w:rFonts w:asciiTheme="majorHAnsi" w:hAnsiTheme="majorHAnsi" w:cstheme="majorHAnsi"/>
          <w:sz w:val="20"/>
          <w:szCs w:val="20"/>
        </w:rPr>
        <w:t>.</w:t>
      </w:r>
      <w:r w:rsidRPr="0005201B">
        <w:rPr>
          <w:rFonts w:asciiTheme="majorHAnsi" w:hAnsiTheme="majorHAnsi" w:cstheme="majorHAnsi"/>
          <w:sz w:val="20"/>
          <w:szCs w:val="20"/>
        </w:rPr>
        <w:t xml:space="preserve"> Since 1877, some Palestinian municipalities had some powers to control the construction of buildings and streets, and to expropriate land for public use. There also were several special regulations for the construction and alignment of roads like those of 1868 and 1891</w:t>
      </w:r>
      <w:r w:rsidR="00C77141">
        <w:rPr>
          <w:rFonts w:asciiTheme="majorHAnsi" w:hAnsiTheme="majorHAnsi" w:cstheme="majorHAnsi"/>
          <w:sz w:val="20"/>
          <w:szCs w:val="20"/>
        </w:rPr>
        <w:t xml:space="preserve"> </w:t>
      </w:r>
      <w:r w:rsidR="00C77141" w:rsidRPr="00C77141">
        <w:rPr>
          <w:rFonts w:asciiTheme="majorHAnsi" w:hAnsiTheme="majorHAnsi" w:cstheme="majorHAnsi"/>
          <w:sz w:val="20"/>
          <w:szCs w:val="20"/>
        </w:rPr>
        <w:t>(Goadby and Daukhan, 1991).</w:t>
      </w:r>
      <w:r w:rsidRPr="0005201B">
        <w:rPr>
          <w:rFonts w:asciiTheme="majorHAnsi" w:hAnsiTheme="majorHAnsi" w:cstheme="majorHAnsi"/>
          <w:sz w:val="20"/>
          <w:szCs w:val="20"/>
        </w:rPr>
        <w:t xml:space="preserve"> Some scholars pretends that such regulations never existed</w:t>
      </w:r>
      <w:r w:rsidR="00C77141">
        <w:rPr>
          <w:rFonts w:asciiTheme="majorHAnsi" w:hAnsiTheme="majorHAnsi" w:cstheme="majorHAnsi"/>
          <w:sz w:val="20"/>
          <w:szCs w:val="20"/>
        </w:rPr>
        <w:t xml:space="preserve"> (</w:t>
      </w:r>
      <w:r w:rsidR="00C77141" w:rsidRPr="00C77141">
        <w:rPr>
          <w:rFonts w:asciiTheme="majorHAnsi" w:hAnsiTheme="majorHAnsi" w:cstheme="majorHAnsi"/>
          <w:sz w:val="20"/>
          <w:szCs w:val="20"/>
        </w:rPr>
        <w:t>Biger</w:t>
      </w:r>
      <w:r w:rsidRPr="0005201B">
        <w:rPr>
          <w:rFonts w:asciiTheme="majorHAnsi" w:hAnsiTheme="majorHAnsi" w:cstheme="majorHAnsi"/>
          <w:sz w:val="20"/>
          <w:szCs w:val="20"/>
        </w:rPr>
        <w:t>.</w:t>
      </w:r>
      <w:r w:rsidR="00C77141">
        <w:rPr>
          <w:rFonts w:asciiTheme="majorHAnsi" w:hAnsiTheme="majorHAnsi" w:cstheme="majorHAnsi"/>
          <w:sz w:val="20"/>
          <w:szCs w:val="20"/>
        </w:rPr>
        <w:t>, 1984)</w:t>
      </w:r>
      <w:r w:rsidR="00C77141">
        <w:rPr>
          <w:rFonts w:asciiTheme="majorHAnsi" w:hAnsiTheme="majorHAnsi" w:cstheme="majorHAnsi"/>
          <w:sz w:val="20"/>
          <w:szCs w:val="20"/>
          <w:vertAlign w:val="superscript"/>
        </w:rPr>
        <w:t xml:space="preserve">. </w:t>
      </w:r>
      <w:r w:rsidRPr="0005201B">
        <w:rPr>
          <w:rFonts w:asciiTheme="majorHAnsi" w:hAnsiTheme="majorHAnsi" w:cstheme="majorHAnsi"/>
          <w:sz w:val="20"/>
          <w:szCs w:val="20"/>
          <w:vertAlign w:val="superscript"/>
        </w:rPr>
        <w:t xml:space="preserve"> </w:t>
      </w:r>
      <w:r w:rsidRPr="0005201B">
        <w:rPr>
          <w:rFonts w:asciiTheme="majorHAnsi" w:hAnsiTheme="majorHAnsi" w:cstheme="majorHAnsi"/>
          <w:sz w:val="20"/>
          <w:szCs w:val="20"/>
        </w:rPr>
        <w:t>Others argue that several systems were affecting the development of the Palestinian urban structure</w:t>
      </w:r>
      <w:r w:rsidR="00C77141">
        <w:rPr>
          <w:rFonts w:asciiTheme="majorHAnsi" w:hAnsiTheme="majorHAnsi" w:cstheme="majorHAnsi"/>
          <w:sz w:val="20"/>
          <w:szCs w:val="20"/>
        </w:rPr>
        <w:t xml:space="preserve"> (</w:t>
      </w:r>
      <w:r w:rsidR="00C77141" w:rsidRPr="00C77141">
        <w:rPr>
          <w:rFonts w:asciiTheme="majorHAnsi" w:hAnsiTheme="majorHAnsi" w:cstheme="majorHAnsi"/>
          <w:sz w:val="20"/>
          <w:szCs w:val="20"/>
        </w:rPr>
        <w:t xml:space="preserve">El </w:t>
      </w:r>
      <w:r w:rsidR="00C77141">
        <w:rPr>
          <w:rFonts w:asciiTheme="majorHAnsi" w:hAnsiTheme="majorHAnsi" w:cstheme="majorHAnsi"/>
          <w:sz w:val="20"/>
          <w:szCs w:val="20"/>
        </w:rPr>
        <w:t>–</w:t>
      </w:r>
      <w:r w:rsidR="00C77141" w:rsidRPr="00C77141">
        <w:rPr>
          <w:rFonts w:asciiTheme="majorHAnsi" w:hAnsiTheme="majorHAnsi" w:cstheme="majorHAnsi"/>
          <w:sz w:val="20"/>
          <w:szCs w:val="20"/>
        </w:rPr>
        <w:t>Nahal</w:t>
      </w:r>
      <w:r w:rsidR="00C77141">
        <w:rPr>
          <w:rFonts w:asciiTheme="majorHAnsi" w:hAnsiTheme="majorHAnsi" w:cstheme="majorHAnsi"/>
          <w:sz w:val="20"/>
          <w:szCs w:val="20"/>
        </w:rPr>
        <w:t>, 1979)</w:t>
      </w:r>
      <w:r w:rsidRPr="0005201B">
        <w:rPr>
          <w:rFonts w:asciiTheme="majorHAnsi" w:hAnsiTheme="majorHAnsi" w:cstheme="majorHAnsi"/>
          <w:sz w:val="20"/>
          <w:szCs w:val="20"/>
        </w:rPr>
        <w:t>.</w:t>
      </w:r>
      <w:r w:rsidR="00C77141" w:rsidRPr="0005201B">
        <w:rPr>
          <w:rFonts w:asciiTheme="majorHAnsi" w:hAnsiTheme="majorHAnsi" w:cstheme="majorHAnsi"/>
          <w:sz w:val="20"/>
          <w:szCs w:val="20"/>
        </w:rPr>
        <w:t xml:space="preserve"> </w:t>
      </w:r>
      <w:r w:rsidRPr="0005201B">
        <w:rPr>
          <w:rFonts w:asciiTheme="majorHAnsi" w:hAnsiTheme="majorHAnsi" w:cstheme="majorHAnsi"/>
          <w:sz w:val="20"/>
          <w:szCs w:val="20"/>
        </w:rPr>
        <w:t>These systems were the administrative, judicial and fiscal systems. Within the interrelationships between these three systems, the land system had special importance</w:t>
      </w:r>
      <w:r w:rsidR="00C77141">
        <w:rPr>
          <w:rFonts w:asciiTheme="majorHAnsi" w:hAnsiTheme="majorHAnsi" w:cstheme="majorHAnsi"/>
          <w:sz w:val="20"/>
          <w:szCs w:val="20"/>
        </w:rPr>
        <w:t xml:space="preserve"> (</w:t>
      </w:r>
      <w:r w:rsidR="00C77141" w:rsidRPr="00C77141">
        <w:rPr>
          <w:rFonts w:asciiTheme="majorHAnsi" w:hAnsiTheme="majorHAnsi" w:cstheme="majorHAnsi"/>
          <w:sz w:val="20"/>
          <w:szCs w:val="20"/>
        </w:rPr>
        <w:t>Biger</w:t>
      </w:r>
      <w:r w:rsidR="00C77141" w:rsidRPr="0005201B">
        <w:rPr>
          <w:rFonts w:asciiTheme="majorHAnsi" w:hAnsiTheme="majorHAnsi" w:cstheme="majorHAnsi"/>
          <w:sz w:val="20"/>
          <w:szCs w:val="20"/>
        </w:rPr>
        <w:t>.</w:t>
      </w:r>
      <w:r w:rsidR="00C77141">
        <w:rPr>
          <w:rFonts w:asciiTheme="majorHAnsi" w:hAnsiTheme="majorHAnsi" w:cstheme="majorHAnsi"/>
          <w:sz w:val="20"/>
          <w:szCs w:val="20"/>
        </w:rPr>
        <w:t>, 1984)</w:t>
      </w:r>
      <w:r w:rsidR="00C77141">
        <w:rPr>
          <w:rFonts w:asciiTheme="majorHAnsi" w:hAnsiTheme="majorHAnsi" w:cstheme="majorHAnsi"/>
          <w:sz w:val="20"/>
          <w:szCs w:val="20"/>
          <w:vertAlign w:val="superscript"/>
        </w:rPr>
        <w:t>.</w:t>
      </w:r>
    </w:p>
    <w:p w14:paraId="086619E8" w14:textId="77777777" w:rsidR="0005201B" w:rsidRDefault="0005201B" w:rsidP="00087294">
      <w:pPr>
        <w:ind w:right="102"/>
        <w:jc w:val="both"/>
        <w:rPr>
          <w:rFonts w:asciiTheme="majorHAnsi" w:hAnsiTheme="majorHAnsi" w:cstheme="majorHAnsi"/>
          <w:sz w:val="20"/>
          <w:szCs w:val="20"/>
        </w:rPr>
      </w:pPr>
      <w:r w:rsidRPr="0005201B">
        <w:rPr>
          <w:rFonts w:asciiTheme="majorHAnsi" w:hAnsiTheme="majorHAnsi" w:cstheme="majorHAnsi"/>
          <w:sz w:val="20"/>
          <w:szCs w:val="20"/>
        </w:rPr>
        <w:t>This article uses historical research in an attempt to understand the general systems of the Ottoman Empire which had affected the Palestinian urban structures. The administrative system maintained the Ottoman supremacy over their territories.  The main feature of this control which had direct relevance to the control of the Palestinian urban structure was the administrative hierarchy. At the same time the, Ottoman judicial system dealt with all aspects of everyday life of the community including the mediation of the urban change and resolving the conflicts over the use of land. The Ottoman Civil Code was one of the most important judicial tools affected all aspects of the everyday life in the Palestine including land use and development.</w:t>
      </w:r>
    </w:p>
    <w:p w14:paraId="05D268EF" w14:textId="2294876F" w:rsidR="0005201B" w:rsidRDefault="0005201B" w:rsidP="00087294">
      <w:pPr>
        <w:ind w:right="102"/>
        <w:jc w:val="both"/>
        <w:rPr>
          <w:rFonts w:asciiTheme="majorHAnsi" w:hAnsiTheme="majorHAnsi" w:cstheme="majorHAnsi"/>
          <w:sz w:val="20"/>
          <w:szCs w:val="20"/>
        </w:rPr>
      </w:pPr>
      <w:r w:rsidRPr="0005201B">
        <w:rPr>
          <w:rFonts w:asciiTheme="majorHAnsi" w:hAnsiTheme="majorHAnsi" w:cstheme="majorHAnsi"/>
          <w:sz w:val="20"/>
          <w:szCs w:val="20"/>
        </w:rPr>
        <w:t>The Ottoman land system, on the other hand, constituted a very important factor of control and change in the Palestinian cities, towns and villages</w:t>
      </w:r>
      <w:r w:rsidR="00C77141">
        <w:rPr>
          <w:rFonts w:asciiTheme="majorHAnsi" w:hAnsiTheme="majorHAnsi" w:cstheme="majorHAnsi"/>
          <w:sz w:val="20"/>
          <w:szCs w:val="20"/>
        </w:rPr>
        <w:t xml:space="preserve"> (</w:t>
      </w:r>
      <w:r w:rsidR="00C77141" w:rsidRPr="00C77141">
        <w:rPr>
          <w:rFonts w:asciiTheme="majorHAnsi" w:hAnsiTheme="majorHAnsi" w:cstheme="majorHAnsi"/>
          <w:sz w:val="20"/>
          <w:szCs w:val="20"/>
        </w:rPr>
        <w:t>Granott</w:t>
      </w:r>
      <w:r w:rsidR="00C77141">
        <w:rPr>
          <w:rFonts w:asciiTheme="majorHAnsi" w:hAnsiTheme="majorHAnsi" w:cstheme="majorHAnsi"/>
          <w:sz w:val="20"/>
          <w:szCs w:val="20"/>
        </w:rPr>
        <w:t xml:space="preserve">, 1952; </w:t>
      </w:r>
      <w:r w:rsidR="00C77141" w:rsidRPr="00C77141">
        <w:rPr>
          <w:rFonts w:asciiTheme="majorHAnsi" w:hAnsiTheme="majorHAnsi" w:cstheme="majorHAnsi"/>
          <w:sz w:val="20"/>
          <w:szCs w:val="20"/>
        </w:rPr>
        <w:t>Arraf</w:t>
      </w:r>
      <w:r w:rsidR="00C77141">
        <w:rPr>
          <w:rFonts w:asciiTheme="majorHAnsi" w:hAnsiTheme="majorHAnsi" w:cstheme="majorHAnsi"/>
          <w:sz w:val="20"/>
          <w:szCs w:val="20"/>
        </w:rPr>
        <w:t>, 1986)</w:t>
      </w:r>
      <w:r w:rsidRPr="0005201B">
        <w:rPr>
          <w:rFonts w:asciiTheme="majorHAnsi" w:hAnsiTheme="majorHAnsi" w:cstheme="majorHAnsi"/>
          <w:sz w:val="20"/>
          <w:szCs w:val="20"/>
        </w:rPr>
        <w:t>.</w:t>
      </w:r>
    </w:p>
    <w:p w14:paraId="371C667F" w14:textId="77777777" w:rsidR="00087294" w:rsidRPr="0005201B" w:rsidRDefault="00087294" w:rsidP="00087294">
      <w:pPr>
        <w:ind w:right="102"/>
        <w:jc w:val="both"/>
        <w:rPr>
          <w:rFonts w:asciiTheme="majorHAnsi" w:hAnsiTheme="majorHAnsi" w:cstheme="majorHAnsi"/>
          <w:sz w:val="20"/>
          <w:szCs w:val="20"/>
          <w:vertAlign w:val="superscript"/>
        </w:rPr>
      </w:pPr>
    </w:p>
    <w:p w14:paraId="74103DC3" w14:textId="77777777" w:rsidR="0005201B" w:rsidRPr="0005201B" w:rsidRDefault="0005201B" w:rsidP="00087294">
      <w:pPr>
        <w:ind w:right="102"/>
        <w:jc w:val="both"/>
        <w:rPr>
          <w:rFonts w:asciiTheme="majorHAnsi" w:hAnsiTheme="majorHAnsi" w:cstheme="majorHAnsi"/>
          <w:b/>
          <w:bCs/>
          <w:iCs/>
          <w:sz w:val="20"/>
          <w:szCs w:val="20"/>
        </w:rPr>
      </w:pPr>
      <w:r w:rsidRPr="0005201B">
        <w:rPr>
          <w:rFonts w:asciiTheme="majorHAnsi" w:hAnsiTheme="majorHAnsi" w:cstheme="majorHAnsi"/>
          <w:b/>
          <w:bCs/>
          <w:iCs/>
          <w:sz w:val="20"/>
          <w:szCs w:val="20"/>
        </w:rPr>
        <w:t xml:space="preserve">Ottoman administrative system </w:t>
      </w:r>
    </w:p>
    <w:p w14:paraId="2E1E50BC" w14:textId="1B6DC470" w:rsidR="0005201B" w:rsidRPr="0005201B" w:rsidRDefault="0005201B" w:rsidP="00087294">
      <w:pPr>
        <w:pStyle w:val="FootnoteText"/>
        <w:ind w:hanging="14"/>
        <w:rPr>
          <w:rFonts w:asciiTheme="majorHAnsi" w:hAnsiTheme="majorHAnsi" w:cstheme="majorHAnsi"/>
          <w:szCs w:val="20"/>
        </w:rPr>
      </w:pPr>
      <w:r w:rsidRPr="0005201B">
        <w:rPr>
          <w:rFonts w:asciiTheme="majorHAnsi" w:hAnsiTheme="majorHAnsi" w:cstheme="majorHAnsi"/>
          <w:szCs w:val="20"/>
        </w:rPr>
        <w:t xml:space="preserve">By the mid </w:t>
      </w:r>
      <w:r w:rsidRPr="001B1104">
        <w:rPr>
          <w:rFonts w:asciiTheme="majorHAnsi" w:hAnsiTheme="majorHAnsi" w:cstheme="majorHAnsi"/>
          <w:color w:val="auto"/>
          <w:szCs w:val="20"/>
        </w:rPr>
        <w:t>nineteenth</w:t>
      </w:r>
      <w:r w:rsidRPr="0005201B">
        <w:rPr>
          <w:rFonts w:asciiTheme="majorHAnsi" w:hAnsiTheme="majorHAnsi" w:cstheme="majorHAnsi"/>
          <w:szCs w:val="20"/>
        </w:rPr>
        <w:t xml:space="preserve"> century the Ottoman provincial administration system was in effect in Palestine </w:t>
      </w:r>
      <w:r w:rsidR="00607D7E">
        <w:rPr>
          <w:rFonts w:asciiTheme="majorHAnsi" w:hAnsiTheme="majorHAnsi" w:cstheme="majorHAnsi"/>
          <w:szCs w:val="20"/>
        </w:rPr>
        <w:t xml:space="preserve">(Figure 1), </w:t>
      </w:r>
      <w:r w:rsidRPr="0005201B">
        <w:rPr>
          <w:rFonts w:asciiTheme="majorHAnsi" w:hAnsiTheme="majorHAnsi" w:cstheme="majorHAnsi"/>
          <w:szCs w:val="20"/>
        </w:rPr>
        <w:t>and it consisted of the following elements</w:t>
      </w:r>
      <w:r w:rsidR="00FA1395">
        <w:rPr>
          <w:rFonts w:asciiTheme="majorHAnsi" w:hAnsiTheme="majorHAnsi" w:cstheme="majorHAnsi"/>
          <w:szCs w:val="20"/>
        </w:rPr>
        <w:t xml:space="preserve"> (</w:t>
      </w:r>
      <w:r w:rsidR="00FA1395" w:rsidRPr="00FA1395">
        <w:rPr>
          <w:rFonts w:asciiTheme="majorHAnsi" w:hAnsiTheme="majorHAnsi" w:cstheme="majorHAnsi"/>
          <w:szCs w:val="20"/>
        </w:rPr>
        <w:t xml:space="preserve">Turkish terms are used in </w:t>
      </w:r>
      <w:r w:rsidR="00FA1395" w:rsidRPr="00FA1395">
        <w:rPr>
          <w:rFonts w:asciiTheme="majorHAnsi" w:hAnsiTheme="majorHAnsi" w:cstheme="majorHAnsi"/>
          <w:i/>
          <w:iCs/>
          <w:szCs w:val="20"/>
        </w:rPr>
        <w:t>Italic</w:t>
      </w:r>
      <w:r w:rsidR="00FA1395" w:rsidRPr="00FA1395">
        <w:rPr>
          <w:rFonts w:asciiTheme="majorHAnsi" w:hAnsiTheme="majorHAnsi" w:cstheme="majorHAnsi"/>
          <w:szCs w:val="20"/>
        </w:rPr>
        <w:t xml:space="preserve">. Arabic terms are used in </w:t>
      </w:r>
      <w:r w:rsidR="00FA1395" w:rsidRPr="00FA1395">
        <w:rPr>
          <w:rFonts w:asciiTheme="majorHAnsi" w:hAnsiTheme="majorHAnsi" w:cstheme="majorHAnsi"/>
          <w:i/>
          <w:iCs/>
          <w:szCs w:val="20"/>
        </w:rPr>
        <w:t>Italic</w:t>
      </w:r>
      <w:r w:rsidR="00FA1395" w:rsidRPr="00FA1395">
        <w:rPr>
          <w:rFonts w:asciiTheme="majorHAnsi" w:hAnsiTheme="majorHAnsi" w:cstheme="majorHAnsi"/>
          <w:szCs w:val="20"/>
        </w:rPr>
        <w:t xml:space="preserve"> between </w:t>
      </w:r>
      <w:proofErr w:type="gramStart"/>
      <w:r w:rsidR="00FA1395" w:rsidRPr="00FA1395">
        <w:rPr>
          <w:rFonts w:asciiTheme="majorHAnsi" w:hAnsiTheme="majorHAnsi" w:cstheme="majorHAnsi"/>
          <w:szCs w:val="20"/>
        </w:rPr>
        <w:t>[ ]</w:t>
      </w:r>
      <w:proofErr w:type="gramEnd"/>
      <w:r w:rsidR="00FA1395" w:rsidRPr="00FA1395">
        <w:rPr>
          <w:rFonts w:asciiTheme="majorHAnsi" w:hAnsiTheme="majorHAnsi" w:cstheme="majorHAnsi"/>
          <w:szCs w:val="20"/>
        </w:rPr>
        <w:t xml:space="preserve"> for first time only and if they are different than the Turkish terms. Chicago transliteration style is followed</w:t>
      </w:r>
      <w:r w:rsidR="00FA1395">
        <w:rPr>
          <w:rFonts w:asciiTheme="majorHAnsi" w:hAnsiTheme="majorHAnsi" w:cstheme="majorHAnsi"/>
          <w:szCs w:val="20"/>
        </w:rPr>
        <w:t>)</w:t>
      </w:r>
      <w:r w:rsidRPr="0005201B">
        <w:rPr>
          <w:rFonts w:asciiTheme="majorHAnsi" w:hAnsiTheme="majorHAnsi" w:cstheme="majorHAnsi"/>
          <w:szCs w:val="20"/>
        </w:rPr>
        <w:t>:</w:t>
      </w:r>
    </w:p>
    <w:p w14:paraId="40178561" w14:textId="1F55530E" w:rsidR="00607D7E" w:rsidRPr="00607D7E" w:rsidRDefault="00607D7E" w:rsidP="00087294">
      <w:pPr>
        <w:ind w:right="102"/>
        <w:jc w:val="both"/>
        <w:rPr>
          <w:rFonts w:asciiTheme="majorHAnsi" w:hAnsiTheme="majorHAnsi" w:cstheme="majorHAnsi"/>
          <w:b/>
          <w:bCs/>
          <w:i/>
          <w:sz w:val="20"/>
          <w:szCs w:val="20"/>
        </w:rPr>
      </w:pPr>
      <w:r w:rsidRPr="00607D7E">
        <w:rPr>
          <w:b/>
          <w:bCs/>
          <w:noProof/>
          <w:lang w:val="en-US"/>
        </w:rPr>
        <w:lastRenderedPageBreak/>
        <w:drawing>
          <wp:inline distT="0" distB="0" distL="0" distR="0" wp14:anchorId="6A7DA24E" wp14:editId="4CD9259B">
            <wp:extent cx="2495550" cy="3690529"/>
            <wp:effectExtent l="19050" t="19050" r="19050" b="24765"/>
            <wp:docPr id="3" name="Picture 3" descr="Figure IV.17 — Bilad al-Sham Ottoman administrative division in 19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gure IV.17 — Bilad al-Sham Ottoman administrative division in 1914."/>
                    <pic:cNvPicPr>
                      <a:picLocks noChangeAspect="1" noChangeArrowheads="1"/>
                    </pic:cNvPicPr>
                  </pic:nvPicPr>
                  <pic:blipFill>
                    <a:blip r:embed="rId8">
                      <a:extLst>
                        <a:ext uri="{BEBA8EAE-BF5A-486C-A8C5-ECC9F3942E4B}">
                          <a14:imgProps xmlns:a14="http://schemas.microsoft.com/office/drawing/2010/main">
                            <a14:imgLayer r:embed="rId9">
                              <a14:imgEffect>
                                <a14:brightnessContrast bright="-2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2552067" cy="3774109"/>
                    </a:xfrm>
                    <a:prstGeom prst="rect">
                      <a:avLst/>
                    </a:prstGeom>
                    <a:noFill/>
                    <a:ln>
                      <a:solidFill>
                        <a:schemeClr val="tx1"/>
                      </a:solidFill>
                    </a:ln>
                  </pic:spPr>
                </pic:pic>
              </a:graphicData>
            </a:graphic>
          </wp:inline>
        </w:drawing>
      </w:r>
    </w:p>
    <w:p w14:paraId="7076E843" w14:textId="63332B46" w:rsidR="00607D7E" w:rsidRDefault="00607D7E" w:rsidP="00087294">
      <w:pPr>
        <w:pStyle w:val="FootnoteText"/>
        <w:ind w:hanging="14"/>
        <w:rPr>
          <w:rFonts w:asciiTheme="majorHAnsi" w:eastAsiaTheme="minorEastAsia" w:hAnsiTheme="majorHAnsi" w:cstheme="majorHAnsi"/>
          <w:color w:val="auto"/>
          <w:spacing w:val="0"/>
          <w:w w:val="100"/>
          <w:szCs w:val="20"/>
          <w:lang w:val="tr-TR"/>
        </w:rPr>
      </w:pPr>
      <w:r w:rsidRPr="00607D7E">
        <w:rPr>
          <w:rFonts w:asciiTheme="majorHAnsi" w:eastAsiaTheme="minorEastAsia" w:hAnsiTheme="majorHAnsi" w:cstheme="majorHAnsi"/>
          <w:b/>
          <w:bCs/>
          <w:color w:val="auto"/>
          <w:spacing w:val="0"/>
          <w:w w:val="100"/>
          <w:szCs w:val="20"/>
          <w:lang w:val="tr-TR"/>
        </w:rPr>
        <w:t>Figure 1:</w:t>
      </w:r>
      <w:r w:rsidRPr="00607D7E">
        <w:rPr>
          <w:rFonts w:asciiTheme="majorHAnsi" w:eastAsiaTheme="minorEastAsia" w:hAnsiTheme="majorHAnsi" w:cstheme="majorHAnsi"/>
          <w:color w:val="auto"/>
          <w:spacing w:val="0"/>
          <w:w w:val="100"/>
          <w:szCs w:val="20"/>
          <w:lang w:val="tr-TR"/>
        </w:rPr>
        <w:t xml:space="preserve"> Ottoman administrative division in 1914</w:t>
      </w:r>
    </w:p>
    <w:p w14:paraId="2C466BBD" w14:textId="5666661C" w:rsidR="00576549" w:rsidRPr="00576549" w:rsidRDefault="00607D7E" w:rsidP="00087294">
      <w:pPr>
        <w:pStyle w:val="FootnoteText"/>
        <w:ind w:hanging="14"/>
        <w:rPr>
          <w:rFonts w:asciiTheme="majorHAnsi" w:eastAsiaTheme="minorEastAsia" w:hAnsiTheme="majorHAnsi" w:cstheme="majorHAnsi"/>
          <w:color w:val="auto"/>
          <w:spacing w:val="0"/>
          <w:w w:val="100"/>
          <w:szCs w:val="20"/>
          <w:lang w:val="tr-TR"/>
        </w:rPr>
      </w:pPr>
      <w:r w:rsidRPr="00576549">
        <w:rPr>
          <w:rFonts w:asciiTheme="majorHAnsi" w:eastAsiaTheme="minorEastAsia" w:hAnsiTheme="majorHAnsi" w:cstheme="majorHAnsi"/>
          <w:b/>
          <w:bCs/>
          <w:color w:val="auto"/>
          <w:spacing w:val="0"/>
          <w:w w:val="100"/>
          <w:szCs w:val="20"/>
          <w:lang w:val="tr-TR"/>
        </w:rPr>
        <w:t>Source:</w:t>
      </w:r>
      <w:r w:rsidRPr="00576549">
        <w:rPr>
          <w:rFonts w:asciiTheme="majorHAnsi" w:eastAsiaTheme="minorEastAsia" w:hAnsiTheme="majorHAnsi" w:cstheme="majorHAnsi"/>
          <w:color w:val="auto"/>
          <w:spacing w:val="0"/>
          <w:w w:val="100"/>
          <w:szCs w:val="20"/>
          <w:lang w:val="tr-TR"/>
        </w:rPr>
        <w:t xml:space="preserve"> Neveu, </w:t>
      </w:r>
      <w:r w:rsidR="00576549">
        <w:rPr>
          <w:rFonts w:asciiTheme="majorHAnsi" w:eastAsiaTheme="minorEastAsia" w:hAnsiTheme="majorHAnsi" w:cstheme="majorHAnsi"/>
          <w:color w:val="auto"/>
          <w:spacing w:val="0"/>
          <w:w w:val="100"/>
          <w:szCs w:val="20"/>
          <w:lang w:val="tr-TR"/>
        </w:rPr>
        <w:t>2013.</w:t>
      </w:r>
    </w:p>
    <w:p w14:paraId="3CA9A2D3" w14:textId="03ACA959" w:rsidR="00576549" w:rsidRPr="00576549" w:rsidRDefault="00576549" w:rsidP="00087294">
      <w:pPr>
        <w:pStyle w:val="FootnoteText"/>
        <w:ind w:hanging="14"/>
        <w:rPr>
          <w:rFonts w:asciiTheme="majorHAnsi" w:eastAsiaTheme="minorEastAsia" w:hAnsiTheme="majorHAnsi" w:cstheme="majorHAnsi"/>
          <w:color w:val="auto"/>
          <w:spacing w:val="0"/>
          <w:w w:val="100"/>
          <w:szCs w:val="20"/>
        </w:rPr>
      </w:pPr>
    </w:p>
    <w:p w14:paraId="5C0C0F8A" w14:textId="1CB93DDD" w:rsidR="0005201B" w:rsidRPr="0005201B" w:rsidRDefault="0005201B" w:rsidP="00087294">
      <w:pPr>
        <w:ind w:right="102"/>
        <w:jc w:val="both"/>
        <w:rPr>
          <w:rFonts w:asciiTheme="majorHAnsi" w:hAnsiTheme="majorHAnsi" w:cstheme="majorHAnsi"/>
          <w:b/>
          <w:bCs/>
          <w:sz w:val="20"/>
          <w:szCs w:val="20"/>
        </w:rPr>
      </w:pPr>
      <w:r w:rsidRPr="0005201B">
        <w:rPr>
          <w:rFonts w:asciiTheme="majorHAnsi" w:hAnsiTheme="majorHAnsi" w:cstheme="majorHAnsi"/>
          <w:b/>
          <w:bCs/>
          <w:i/>
          <w:sz w:val="20"/>
          <w:szCs w:val="20"/>
        </w:rPr>
        <w:t xml:space="preserve">Vilayet or Eyalet [wilayah] </w:t>
      </w:r>
      <w:r w:rsidRPr="0005201B">
        <w:rPr>
          <w:rFonts w:asciiTheme="majorHAnsi" w:hAnsiTheme="majorHAnsi" w:cstheme="majorHAnsi"/>
          <w:b/>
          <w:bCs/>
          <w:sz w:val="20"/>
          <w:szCs w:val="20"/>
        </w:rPr>
        <w:t>(province)</w:t>
      </w:r>
    </w:p>
    <w:p w14:paraId="61E6F58B" w14:textId="33676384" w:rsidR="00FA1395" w:rsidRDefault="0005201B" w:rsidP="00087294">
      <w:pPr>
        <w:pStyle w:val="FootnoteText"/>
        <w:ind w:hanging="14"/>
        <w:rPr>
          <w:rFonts w:asciiTheme="majorHAnsi" w:hAnsiTheme="majorHAnsi" w:cstheme="majorHAnsi"/>
          <w:szCs w:val="20"/>
        </w:rPr>
      </w:pPr>
      <w:r w:rsidRPr="00FA1395">
        <w:rPr>
          <w:rFonts w:asciiTheme="majorHAnsi" w:eastAsiaTheme="minorEastAsia" w:hAnsiTheme="majorHAnsi" w:cstheme="majorHAnsi"/>
          <w:color w:val="auto"/>
          <w:spacing w:val="0"/>
          <w:w w:val="100"/>
          <w:szCs w:val="20"/>
          <w:lang w:val="tr-TR"/>
        </w:rPr>
        <w:t>A basic administrative division in</w:t>
      </w:r>
      <w:r w:rsidRPr="0005201B">
        <w:rPr>
          <w:rFonts w:asciiTheme="majorHAnsi" w:hAnsiTheme="majorHAnsi" w:cstheme="majorHAnsi"/>
          <w:szCs w:val="20"/>
        </w:rPr>
        <w:t xml:space="preserve"> Ottoman Empire since 1861. It was governed by a </w:t>
      </w:r>
      <w:r w:rsidRPr="0005201B">
        <w:rPr>
          <w:rFonts w:asciiTheme="majorHAnsi" w:hAnsiTheme="majorHAnsi" w:cstheme="majorHAnsi"/>
          <w:i/>
          <w:szCs w:val="20"/>
        </w:rPr>
        <w:t>Vali [</w:t>
      </w:r>
      <w:proofErr w:type="spellStart"/>
      <w:r w:rsidRPr="0005201B">
        <w:rPr>
          <w:rFonts w:asciiTheme="majorHAnsi" w:hAnsiTheme="majorHAnsi" w:cstheme="majorHAnsi"/>
          <w:i/>
          <w:szCs w:val="20"/>
        </w:rPr>
        <w:t>wali</w:t>
      </w:r>
      <w:proofErr w:type="spellEnd"/>
      <w:r w:rsidRPr="0005201B">
        <w:rPr>
          <w:rFonts w:asciiTheme="majorHAnsi" w:hAnsiTheme="majorHAnsi" w:cstheme="majorHAnsi"/>
          <w:i/>
          <w:szCs w:val="20"/>
        </w:rPr>
        <w:t>]</w:t>
      </w:r>
      <w:r w:rsidRPr="0005201B">
        <w:rPr>
          <w:rFonts w:asciiTheme="majorHAnsi" w:hAnsiTheme="majorHAnsi" w:cstheme="majorHAnsi"/>
          <w:szCs w:val="20"/>
        </w:rPr>
        <w:t xml:space="preserve"> (general governor)</w:t>
      </w:r>
      <w:r w:rsidR="00FA1395">
        <w:rPr>
          <w:rFonts w:asciiTheme="majorHAnsi" w:hAnsiTheme="majorHAnsi" w:cstheme="majorHAnsi"/>
          <w:szCs w:val="20"/>
        </w:rPr>
        <w:t xml:space="preserve"> </w:t>
      </w:r>
    </w:p>
    <w:p w14:paraId="55BD19C4" w14:textId="48BB7629" w:rsidR="0005201B" w:rsidRPr="0005201B" w:rsidRDefault="00FA1395" w:rsidP="00087294">
      <w:pPr>
        <w:pStyle w:val="FootnoteText"/>
        <w:ind w:hanging="14"/>
        <w:rPr>
          <w:rFonts w:asciiTheme="majorHAnsi" w:hAnsiTheme="majorHAnsi" w:cstheme="majorHAnsi"/>
          <w:szCs w:val="20"/>
        </w:rPr>
      </w:pPr>
      <w:r w:rsidRPr="0005201B">
        <w:rPr>
          <w:rFonts w:asciiTheme="majorHAnsi" w:hAnsiTheme="majorHAnsi" w:cstheme="majorHAnsi"/>
          <w:szCs w:val="20"/>
        </w:rPr>
        <w:t xml:space="preserve"> </w:t>
      </w:r>
      <w:r w:rsidR="0005201B" w:rsidRPr="0005201B">
        <w:rPr>
          <w:rFonts w:asciiTheme="majorHAnsi" w:hAnsiTheme="majorHAnsi" w:cstheme="majorHAnsi"/>
          <w:szCs w:val="20"/>
        </w:rPr>
        <w:t xml:space="preserve">The </w:t>
      </w:r>
      <w:r w:rsidR="0005201B" w:rsidRPr="0005201B">
        <w:rPr>
          <w:rFonts w:asciiTheme="majorHAnsi" w:hAnsiTheme="majorHAnsi" w:cstheme="majorHAnsi"/>
          <w:i/>
          <w:szCs w:val="20"/>
        </w:rPr>
        <w:t>Vali</w:t>
      </w:r>
      <w:r w:rsidR="0005201B" w:rsidRPr="0005201B">
        <w:rPr>
          <w:rFonts w:asciiTheme="majorHAnsi" w:hAnsiTheme="majorHAnsi" w:cstheme="majorHAnsi"/>
          <w:szCs w:val="20"/>
        </w:rPr>
        <w:t xml:space="preserve"> who directly subordinated the Minister of the Interior in Istanbul, and he w</w:t>
      </w:r>
      <w:r>
        <w:rPr>
          <w:rFonts w:asciiTheme="majorHAnsi" w:hAnsiTheme="majorHAnsi" w:cstheme="majorHAnsi"/>
          <w:szCs w:val="20"/>
        </w:rPr>
        <w:t xml:space="preserve">as empowered to appoint several </w:t>
      </w:r>
      <w:r w:rsidR="0005201B" w:rsidRPr="0005201B">
        <w:rPr>
          <w:rFonts w:asciiTheme="majorHAnsi" w:hAnsiTheme="majorHAnsi" w:cstheme="majorHAnsi"/>
          <w:szCs w:val="20"/>
        </w:rPr>
        <w:t>officers and to establish a Pro</w:t>
      </w:r>
      <w:r w:rsidR="00167B2F">
        <w:rPr>
          <w:rFonts w:asciiTheme="majorHAnsi" w:hAnsiTheme="majorHAnsi" w:cstheme="majorHAnsi"/>
          <w:szCs w:val="20"/>
        </w:rPr>
        <w:t xml:space="preserve">vincial Administrative Council </w:t>
      </w:r>
      <w:r>
        <w:rPr>
          <w:rFonts w:asciiTheme="majorHAnsi" w:hAnsiTheme="majorHAnsi" w:cstheme="majorHAnsi"/>
          <w:szCs w:val="20"/>
        </w:rPr>
        <w:t>(</w:t>
      </w:r>
      <w:r w:rsidRPr="00FA1395">
        <w:rPr>
          <w:rFonts w:asciiTheme="majorHAnsi" w:hAnsiTheme="majorHAnsi" w:cstheme="majorHAnsi"/>
          <w:szCs w:val="20"/>
        </w:rPr>
        <w:t>Al-</w:t>
      </w:r>
      <w:proofErr w:type="spellStart"/>
      <w:r w:rsidRPr="00FA1395">
        <w:rPr>
          <w:rFonts w:asciiTheme="majorHAnsi" w:hAnsiTheme="majorHAnsi" w:cstheme="majorHAnsi"/>
          <w:szCs w:val="20"/>
        </w:rPr>
        <w:t>Dabbag</w:t>
      </w:r>
      <w:proofErr w:type="spellEnd"/>
      <w:r>
        <w:rPr>
          <w:rFonts w:asciiTheme="majorHAnsi" w:hAnsiTheme="majorHAnsi" w:cstheme="majorHAnsi"/>
          <w:szCs w:val="20"/>
        </w:rPr>
        <w:t>, 1982)</w:t>
      </w:r>
      <w:r w:rsidR="0005201B" w:rsidRPr="0005201B">
        <w:rPr>
          <w:rFonts w:asciiTheme="majorHAnsi" w:hAnsiTheme="majorHAnsi" w:cstheme="majorHAnsi"/>
          <w:szCs w:val="20"/>
        </w:rPr>
        <w:t>.</w:t>
      </w:r>
    </w:p>
    <w:p w14:paraId="52925EFA" w14:textId="77777777" w:rsidR="0005201B" w:rsidRPr="0005201B" w:rsidRDefault="0005201B" w:rsidP="00087294">
      <w:pPr>
        <w:ind w:right="102"/>
        <w:jc w:val="both"/>
        <w:rPr>
          <w:rFonts w:asciiTheme="majorHAnsi" w:hAnsiTheme="majorHAnsi" w:cstheme="majorHAnsi"/>
          <w:b/>
          <w:bCs/>
          <w:iCs/>
          <w:sz w:val="20"/>
          <w:szCs w:val="20"/>
        </w:rPr>
      </w:pPr>
      <w:r w:rsidRPr="0005201B">
        <w:rPr>
          <w:rFonts w:asciiTheme="majorHAnsi" w:hAnsiTheme="majorHAnsi" w:cstheme="majorHAnsi"/>
          <w:b/>
          <w:bCs/>
          <w:i/>
          <w:sz w:val="20"/>
          <w:szCs w:val="20"/>
        </w:rPr>
        <w:t>Vilayet Meclis i Umumi [Majlis al-wilayah al-omomi]</w:t>
      </w:r>
      <w:r w:rsidRPr="0005201B">
        <w:rPr>
          <w:rFonts w:asciiTheme="majorHAnsi" w:hAnsiTheme="majorHAnsi" w:cstheme="majorHAnsi"/>
          <w:b/>
          <w:bCs/>
          <w:iCs/>
          <w:sz w:val="20"/>
          <w:szCs w:val="20"/>
        </w:rPr>
        <w:t xml:space="preserve"> </w:t>
      </w:r>
      <w:r w:rsidRPr="0005201B">
        <w:rPr>
          <w:rFonts w:asciiTheme="majorHAnsi" w:hAnsiTheme="majorHAnsi" w:cstheme="majorHAnsi"/>
          <w:b/>
          <w:bCs/>
          <w:sz w:val="20"/>
          <w:szCs w:val="20"/>
        </w:rPr>
        <w:t>(Provincial General Assembly)</w:t>
      </w:r>
    </w:p>
    <w:p w14:paraId="54527070" w14:textId="51904F2D" w:rsidR="0005201B" w:rsidRPr="0005201B" w:rsidRDefault="0005201B" w:rsidP="00087294">
      <w:pPr>
        <w:ind w:right="102"/>
        <w:jc w:val="both"/>
        <w:rPr>
          <w:rFonts w:asciiTheme="majorHAnsi" w:hAnsiTheme="majorHAnsi" w:cstheme="majorHAnsi"/>
          <w:sz w:val="20"/>
          <w:szCs w:val="20"/>
        </w:rPr>
      </w:pPr>
      <w:r w:rsidRPr="0005201B">
        <w:rPr>
          <w:rFonts w:asciiTheme="majorHAnsi" w:hAnsiTheme="majorHAnsi" w:cstheme="majorHAnsi"/>
          <w:sz w:val="20"/>
          <w:szCs w:val="20"/>
        </w:rPr>
        <w:t>The provincial Administration Law, 1871 introduced the establishment of Provincial General Assemblies in the provinces</w:t>
      </w:r>
      <w:r w:rsidR="00FA1395">
        <w:rPr>
          <w:rFonts w:asciiTheme="majorHAnsi" w:hAnsiTheme="majorHAnsi" w:cstheme="majorHAnsi"/>
          <w:sz w:val="20"/>
          <w:szCs w:val="20"/>
        </w:rPr>
        <w:t xml:space="preserve"> (</w:t>
      </w:r>
      <w:r w:rsidR="00FA1395" w:rsidRPr="00FA1395">
        <w:rPr>
          <w:rFonts w:asciiTheme="majorHAnsi" w:hAnsiTheme="majorHAnsi" w:cstheme="majorHAnsi"/>
          <w:sz w:val="20"/>
          <w:szCs w:val="20"/>
        </w:rPr>
        <w:t>Al-Nimir</w:t>
      </w:r>
      <w:r w:rsidR="00FA1395">
        <w:rPr>
          <w:rFonts w:asciiTheme="majorHAnsi" w:hAnsiTheme="majorHAnsi" w:cstheme="majorHAnsi"/>
          <w:sz w:val="20"/>
          <w:szCs w:val="20"/>
        </w:rPr>
        <w:t>, 1975)</w:t>
      </w:r>
      <w:r w:rsidRPr="0005201B">
        <w:rPr>
          <w:rFonts w:asciiTheme="majorHAnsi" w:hAnsiTheme="majorHAnsi" w:cstheme="majorHAnsi"/>
          <w:sz w:val="20"/>
          <w:szCs w:val="20"/>
        </w:rPr>
        <w:t>.</w:t>
      </w:r>
      <w:r w:rsidR="00FA1395" w:rsidRPr="0005201B">
        <w:rPr>
          <w:rFonts w:asciiTheme="majorHAnsi" w:hAnsiTheme="majorHAnsi" w:cstheme="majorHAnsi"/>
          <w:sz w:val="20"/>
          <w:szCs w:val="20"/>
        </w:rPr>
        <w:t xml:space="preserve"> </w:t>
      </w:r>
      <w:r w:rsidRPr="0005201B">
        <w:rPr>
          <w:rFonts w:asciiTheme="majorHAnsi" w:hAnsiTheme="majorHAnsi" w:cstheme="majorHAnsi"/>
          <w:sz w:val="20"/>
          <w:szCs w:val="20"/>
        </w:rPr>
        <w:t>The Provincial General Assembly met in the provincial center every year to d</w:t>
      </w:r>
      <w:r w:rsidR="00167B2F">
        <w:rPr>
          <w:rFonts w:asciiTheme="majorHAnsi" w:hAnsiTheme="majorHAnsi" w:cstheme="majorHAnsi"/>
          <w:sz w:val="20"/>
          <w:szCs w:val="20"/>
        </w:rPr>
        <w:t>iscuss a wide range of issues including</w:t>
      </w:r>
      <w:r w:rsidRPr="0005201B">
        <w:rPr>
          <w:rFonts w:asciiTheme="majorHAnsi" w:hAnsiTheme="majorHAnsi" w:cstheme="majorHAnsi"/>
          <w:sz w:val="20"/>
          <w:szCs w:val="20"/>
        </w:rPr>
        <w:t xml:space="preserve"> plans for development projects such as roads and public buildings, ways of developing trade, industry, agriculture, education, the purchase of land for public use and any other issues suggested by the General Governor or the Sublime Porte</w:t>
      </w:r>
      <w:r w:rsidR="00FA1395">
        <w:rPr>
          <w:rFonts w:asciiTheme="majorHAnsi" w:hAnsiTheme="majorHAnsi" w:cstheme="majorHAnsi"/>
          <w:sz w:val="20"/>
          <w:szCs w:val="20"/>
        </w:rPr>
        <w:t xml:space="preserve"> (</w:t>
      </w:r>
      <w:r w:rsidR="00FA1395" w:rsidRPr="00FA1395">
        <w:rPr>
          <w:rFonts w:asciiTheme="majorHAnsi" w:hAnsiTheme="majorHAnsi" w:cstheme="majorHAnsi"/>
          <w:sz w:val="20"/>
          <w:szCs w:val="20"/>
        </w:rPr>
        <w:t>Findley</w:t>
      </w:r>
      <w:r w:rsidR="00FA1395">
        <w:rPr>
          <w:rFonts w:asciiTheme="majorHAnsi" w:hAnsiTheme="majorHAnsi" w:cstheme="majorHAnsi"/>
          <w:sz w:val="20"/>
          <w:szCs w:val="20"/>
        </w:rPr>
        <w:t>, 1986)</w:t>
      </w:r>
      <w:r w:rsidRPr="0005201B">
        <w:rPr>
          <w:rFonts w:asciiTheme="majorHAnsi" w:hAnsiTheme="majorHAnsi" w:cstheme="majorHAnsi"/>
          <w:sz w:val="20"/>
          <w:szCs w:val="20"/>
        </w:rPr>
        <w:t>.</w:t>
      </w:r>
    </w:p>
    <w:p w14:paraId="79B06DCC" w14:textId="77777777" w:rsidR="0005201B" w:rsidRPr="0005201B" w:rsidRDefault="0005201B" w:rsidP="00087294">
      <w:pPr>
        <w:ind w:right="102"/>
        <w:jc w:val="both"/>
        <w:rPr>
          <w:rFonts w:asciiTheme="majorHAnsi" w:hAnsiTheme="majorHAnsi" w:cstheme="majorHAnsi"/>
          <w:b/>
          <w:bCs/>
          <w:sz w:val="20"/>
          <w:szCs w:val="20"/>
        </w:rPr>
      </w:pPr>
      <w:r w:rsidRPr="0005201B">
        <w:rPr>
          <w:rFonts w:asciiTheme="majorHAnsi" w:hAnsiTheme="majorHAnsi" w:cstheme="majorHAnsi"/>
          <w:b/>
          <w:bCs/>
          <w:i/>
          <w:sz w:val="20"/>
          <w:szCs w:val="20"/>
        </w:rPr>
        <w:t>Sancak [Liwa]</w:t>
      </w:r>
      <w:r w:rsidRPr="0005201B">
        <w:rPr>
          <w:rFonts w:asciiTheme="majorHAnsi" w:hAnsiTheme="majorHAnsi" w:cstheme="majorHAnsi"/>
          <w:b/>
          <w:bCs/>
          <w:sz w:val="20"/>
          <w:szCs w:val="20"/>
        </w:rPr>
        <w:t xml:space="preserve"> (county)</w:t>
      </w:r>
    </w:p>
    <w:p w14:paraId="007127A5" w14:textId="19CC9C1C" w:rsidR="0005201B" w:rsidRPr="0005201B" w:rsidRDefault="0005201B" w:rsidP="00087294">
      <w:pPr>
        <w:ind w:right="102"/>
        <w:jc w:val="both"/>
        <w:rPr>
          <w:rFonts w:asciiTheme="majorHAnsi" w:hAnsiTheme="majorHAnsi" w:cstheme="majorHAnsi"/>
          <w:sz w:val="20"/>
          <w:szCs w:val="20"/>
        </w:rPr>
      </w:pPr>
      <w:r w:rsidRPr="0005201B">
        <w:rPr>
          <w:rFonts w:asciiTheme="majorHAnsi" w:hAnsiTheme="majorHAnsi" w:cstheme="majorHAnsi"/>
          <w:sz w:val="20"/>
          <w:szCs w:val="20"/>
        </w:rPr>
        <w:t xml:space="preserve">Each province was divided into counties.  Each county was governed by a </w:t>
      </w:r>
      <w:r w:rsidRPr="0005201B">
        <w:rPr>
          <w:rFonts w:asciiTheme="majorHAnsi" w:hAnsiTheme="majorHAnsi" w:cstheme="majorHAnsi"/>
          <w:i/>
          <w:sz w:val="20"/>
          <w:szCs w:val="20"/>
        </w:rPr>
        <w:t>Mutasarrif</w:t>
      </w:r>
      <w:r w:rsidRPr="0005201B">
        <w:rPr>
          <w:rFonts w:asciiTheme="majorHAnsi" w:hAnsiTheme="majorHAnsi" w:cstheme="majorHAnsi"/>
          <w:sz w:val="20"/>
          <w:szCs w:val="20"/>
        </w:rPr>
        <w:t xml:space="preserve"> (Lieutenant governor) who subordinated the General Governor</w:t>
      </w:r>
      <w:r w:rsidR="00167B2F">
        <w:rPr>
          <w:rFonts w:asciiTheme="majorHAnsi" w:hAnsiTheme="majorHAnsi" w:cstheme="majorHAnsi"/>
          <w:sz w:val="20"/>
          <w:szCs w:val="20"/>
        </w:rPr>
        <w:t xml:space="preserve"> of his province </w:t>
      </w:r>
      <w:r w:rsidR="00FA1395">
        <w:rPr>
          <w:rFonts w:asciiTheme="majorHAnsi" w:hAnsiTheme="majorHAnsi" w:cstheme="majorHAnsi"/>
          <w:sz w:val="20"/>
          <w:szCs w:val="20"/>
        </w:rPr>
        <w:t>(</w:t>
      </w:r>
      <w:r w:rsidR="00FA1395" w:rsidRPr="00FA1395">
        <w:rPr>
          <w:rFonts w:asciiTheme="majorHAnsi" w:hAnsiTheme="majorHAnsi" w:cstheme="majorHAnsi"/>
          <w:sz w:val="20"/>
          <w:szCs w:val="20"/>
        </w:rPr>
        <w:t>Al-Nimir</w:t>
      </w:r>
      <w:r w:rsidR="00FA1395">
        <w:rPr>
          <w:rFonts w:asciiTheme="majorHAnsi" w:hAnsiTheme="majorHAnsi" w:cstheme="majorHAnsi"/>
          <w:sz w:val="20"/>
          <w:szCs w:val="20"/>
        </w:rPr>
        <w:t>, 1975).</w:t>
      </w:r>
    </w:p>
    <w:p w14:paraId="100A9439" w14:textId="77777777" w:rsidR="0005201B" w:rsidRPr="0005201B" w:rsidRDefault="0005201B" w:rsidP="00087294">
      <w:pPr>
        <w:ind w:right="102"/>
        <w:jc w:val="both"/>
        <w:rPr>
          <w:rFonts w:asciiTheme="majorHAnsi" w:hAnsiTheme="majorHAnsi" w:cstheme="majorHAnsi"/>
          <w:b/>
          <w:bCs/>
          <w:sz w:val="20"/>
          <w:szCs w:val="20"/>
        </w:rPr>
      </w:pPr>
      <w:r w:rsidRPr="0005201B">
        <w:rPr>
          <w:rFonts w:asciiTheme="majorHAnsi" w:hAnsiTheme="majorHAnsi" w:cstheme="majorHAnsi"/>
          <w:b/>
          <w:bCs/>
          <w:i/>
          <w:sz w:val="20"/>
          <w:szCs w:val="20"/>
        </w:rPr>
        <w:t>Kaza [Kada]</w:t>
      </w:r>
      <w:r w:rsidRPr="0005201B">
        <w:rPr>
          <w:rFonts w:asciiTheme="majorHAnsi" w:hAnsiTheme="majorHAnsi" w:cstheme="majorHAnsi"/>
          <w:b/>
          <w:bCs/>
          <w:sz w:val="20"/>
          <w:szCs w:val="20"/>
        </w:rPr>
        <w:t xml:space="preserve"> (district)</w:t>
      </w:r>
    </w:p>
    <w:p w14:paraId="00E519CA" w14:textId="2AF889CC" w:rsidR="0005201B" w:rsidRPr="0005201B" w:rsidRDefault="0005201B" w:rsidP="00087294">
      <w:pPr>
        <w:ind w:right="102"/>
        <w:jc w:val="both"/>
        <w:rPr>
          <w:rFonts w:asciiTheme="majorHAnsi" w:hAnsiTheme="majorHAnsi" w:cstheme="majorHAnsi"/>
          <w:sz w:val="20"/>
          <w:szCs w:val="20"/>
        </w:rPr>
      </w:pPr>
      <w:r w:rsidRPr="0005201B">
        <w:rPr>
          <w:rFonts w:asciiTheme="majorHAnsi" w:hAnsiTheme="majorHAnsi" w:cstheme="majorHAnsi"/>
          <w:sz w:val="20"/>
          <w:szCs w:val="20"/>
        </w:rPr>
        <w:t xml:space="preserve">Counties consisted of districts with a </w:t>
      </w:r>
      <w:r w:rsidRPr="0005201B">
        <w:rPr>
          <w:rFonts w:asciiTheme="majorHAnsi" w:hAnsiTheme="majorHAnsi" w:cstheme="majorHAnsi"/>
          <w:i/>
          <w:sz w:val="20"/>
          <w:szCs w:val="20"/>
        </w:rPr>
        <w:t>Kaimakam</w:t>
      </w:r>
      <w:r w:rsidRPr="0005201B">
        <w:rPr>
          <w:rFonts w:asciiTheme="majorHAnsi" w:hAnsiTheme="majorHAnsi" w:cstheme="majorHAnsi"/>
          <w:sz w:val="20"/>
          <w:szCs w:val="20"/>
        </w:rPr>
        <w:t xml:space="preserve"> (Lieutenant colonel) governing each district.  The </w:t>
      </w:r>
      <w:r w:rsidRPr="0005201B">
        <w:rPr>
          <w:rFonts w:asciiTheme="majorHAnsi" w:hAnsiTheme="majorHAnsi" w:cstheme="majorHAnsi"/>
          <w:i/>
          <w:sz w:val="20"/>
          <w:szCs w:val="20"/>
        </w:rPr>
        <w:t>Kaimakam</w:t>
      </w:r>
      <w:r w:rsidRPr="0005201B">
        <w:rPr>
          <w:rFonts w:asciiTheme="majorHAnsi" w:hAnsiTheme="majorHAnsi" w:cstheme="majorHAnsi"/>
          <w:sz w:val="20"/>
          <w:szCs w:val="20"/>
        </w:rPr>
        <w:t xml:space="preserve"> subordinated the </w:t>
      </w:r>
      <w:r w:rsidRPr="0005201B">
        <w:rPr>
          <w:rFonts w:asciiTheme="majorHAnsi" w:hAnsiTheme="majorHAnsi" w:cstheme="majorHAnsi"/>
          <w:i/>
          <w:sz w:val="20"/>
          <w:szCs w:val="20"/>
        </w:rPr>
        <w:t>Mutasarrif</w:t>
      </w:r>
      <w:r w:rsidRPr="0005201B">
        <w:rPr>
          <w:rFonts w:asciiTheme="majorHAnsi" w:hAnsiTheme="majorHAnsi" w:cstheme="majorHAnsi"/>
          <w:sz w:val="20"/>
          <w:szCs w:val="20"/>
        </w:rPr>
        <w:t xml:space="preserve"> yet there was no administrative council in the district</w:t>
      </w:r>
      <w:r w:rsidR="00FA1395">
        <w:rPr>
          <w:rFonts w:asciiTheme="majorHAnsi" w:hAnsiTheme="majorHAnsi" w:cstheme="majorHAnsi"/>
          <w:sz w:val="20"/>
          <w:szCs w:val="20"/>
        </w:rPr>
        <w:t xml:space="preserve"> (</w:t>
      </w:r>
      <w:r w:rsidR="00FA1395" w:rsidRPr="00FA1395">
        <w:rPr>
          <w:rFonts w:asciiTheme="majorHAnsi" w:hAnsiTheme="majorHAnsi" w:cstheme="majorHAnsi"/>
          <w:sz w:val="20"/>
          <w:szCs w:val="20"/>
        </w:rPr>
        <w:t>Findley</w:t>
      </w:r>
      <w:r w:rsidR="00FA1395">
        <w:rPr>
          <w:rFonts w:asciiTheme="majorHAnsi" w:hAnsiTheme="majorHAnsi" w:cstheme="majorHAnsi"/>
          <w:sz w:val="20"/>
          <w:szCs w:val="20"/>
        </w:rPr>
        <w:t>, 1986)</w:t>
      </w:r>
      <w:r w:rsidR="00FA1395" w:rsidRPr="0005201B">
        <w:rPr>
          <w:rFonts w:asciiTheme="majorHAnsi" w:hAnsiTheme="majorHAnsi" w:cstheme="majorHAnsi"/>
          <w:sz w:val="20"/>
          <w:szCs w:val="20"/>
        </w:rPr>
        <w:t>.</w:t>
      </w:r>
    </w:p>
    <w:p w14:paraId="701B1982" w14:textId="77777777" w:rsidR="0005201B" w:rsidRPr="0005201B" w:rsidRDefault="0005201B" w:rsidP="00087294">
      <w:pPr>
        <w:ind w:right="102"/>
        <w:jc w:val="both"/>
        <w:rPr>
          <w:rFonts w:asciiTheme="majorHAnsi" w:hAnsiTheme="majorHAnsi" w:cstheme="majorHAnsi"/>
          <w:b/>
          <w:bCs/>
          <w:sz w:val="20"/>
          <w:szCs w:val="20"/>
        </w:rPr>
      </w:pPr>
      <w:r w:rsidRPr="0005201B">
        <w:rPr>
          <w:rFonts w:asciiTheme="majorHAnsi" w:hAnsiTheme="majorHAnsi" w:cstheme="majorHAnsi"/>
          <w:b/>
          <w:bCs/>
          <w:i/>
          <w:sz w:val="20"/>
          <w:szCs w:val="20"/>
        </w:rPr>
        <w:t>Nahiye [Nahiyah]</w:t>
      </w:r>
      <w:r w:rsidRPr="0005201B">
        <w:rPr>
          <w:rFonts w:asciiTheme="majorHAnsi" w:hAnsiTheme="majorHAnsi" w:cstheme="majorHAnsi"/>
          <w:b/>
          <w:bCs/>
          <w:sz w:val="20"/>
          <w:szCs w:val="20"/>
        </w:rPr>
        <w:t> (subdistrict)</w:t>
      </w:r>
    </w:p>
    <w:p w14:paraId="5AAE7E7C" w14:textId="75FF8348" w:rsidR="0005201B" w:rsidRPr="0005201B" w:rsidRDefault="0005201B" w:rsidP="00087294">
      <w:pPr>
        <w:ind w:right="102"/>
        <w:jc w:val="both"/>
        <w:rPr>
          <w:rFonts w:asciiTheme="majorHAnsi" w:hAnsiTheme="majorHAnsi" w:cstheme="majorHAnsi"/>
          <w:sz w:val="20"/>
          <w:szCs w:val="20"/>
        </w:rPr>
      </w:pPr>
      <w:r w:rsidRPr="0005201B">
        <w:rPr>
          <w:rFonts w:asciiTheme="majorHAnsi" w:hAnsiTheme="majorHAnsi" w:cstheme="majorHAnsi"/>
          <w:sz w:val="20"/>
          <w:szCs w:val="20"/>
        </w:rPr>
        <w:t xml:space="preserve">The district was divided into subdistricts each was governed by a </w:t>
      </w:r>
      <w:r w:rsidRPr="0005201B">
        <w:rPr>
          <w:rFonts w:asciiTheme="majorHAnsi" w:hAnsiTheme="majorHAnsi" w:cstheme="majorHAnsi"/>
          <w:i/>
          <w:sz w:val="20"/>
          <w:szCs w:val="20"/>
        </w:rPr>
        <w:t>Müdür [Modir]</w:t>
      </w:r>
      <w:r w:rsidRPr="0005201B">
        <w:rPr>
          <w:rFonts w:asciiTheme="majorHAnsi" w:hAnsiTheme="majorHAnsi" w:cstheme="majorHAnsi"/>
          <w:sz w:val="20"/>
          <w:szCs w:val="20"/>
        </w:rPr>
        <w:t xml:space="preserve"> (director) who was normally appointed by the </w:t>
      </w:r>
      <w:r w:rsidRPr="0005201B">
        <w:rPr>
          <w:rFonts w:asciiTheme="majorHAnsi" w:hAnsiTheme="majorHAnsi" w:cstheme="majorHAnsi"/>
          <w:i/>
          <w:sz w:val="20"/>
          <w:szCs w:val="20"/>
        </w:rPr>
        <w:t>Kaimakam</w:t>
      </w:r>
      <w:r w:rsidRPr="0005201B">
        <w:rPr>
          <w:rFonts w:asciiTheme="majorHAnsi" w:hAnsiTheme="majorHAnsi" w:cstheme="majorHAnsi"/>
          <w:sz w:val="20"/>
          <w:szCs w:val="20"/>
        </w:rPr>
        <w:t>. He was responsible for observing order and security in his sub-district, looking into the needs of the population, safeguarding tax collection and keeping roads safe and convenient</w:t>
      </w:r>
      <w:r w:rsidR="00FA1395">
        <w:rPr>
          <w:rFonts w:asciiTheme="majorHAnsi" w:hAnsiTheme="majorHAnsi" w:cstheme="majorHAnsi"/>
          <w:sz w:val="20"/>
          <w:szCs w:val="20"/>
        </w:rPr>
        <w:t xml:space="preserve"> (</w:t>
      </w:r>
      <w:r w:rsidR="00FA1395" w:rsidRPr="00FA1395">
        <w:rPr>
          <w:rFonts w:asciiTheme="majorHAnsi" w:hAnsiTheme="majorHAnsi" w:cstheme="majorHAnsi"/>
          <w:sz w:val="20"/>
          <w:szCs w:val="20"/>
        </w:rPr>
        <w:t>Findley</w:t>
      </w:r>
      <w:r w:rsidR="00FA1395">
        <w:rPr>
          <w:rFonts w:asciiTheme="majorHAnsi" w:hAnsiTheme="majorHAnsi" w:cstheme="majorHAnsi"/>
          <w:sz w:val="20"/>
          <w:szCs w:val="20"/>
        </w:rPr>
        <w:t>, 1986)</w:t>
      </w:r>
      <w:r w:rsidR="00FA1395" w:rsidRPr="0005201B">
        <w:rPr>
          <w:rFonts w:asciiTheme="majorHAnsi" w:hAnsiTheme="majorHAnsi" w:cstheme="majorHAnsi"/>
          <w:sz w:val="20"/>
          <w:szCs w:val="20"/>
        </w:rPr>
        <w:t>.</w:t>
      </w:r>
    </w:p>
    <w:p w14:paraId="7337382E" w14:textId="77777777" w:rsidR="0005201B" w:rsidRPr="0005201B" w:rsidRDefault="0005201B" w:rsidP="00087294">
      <w:pPr>
        <w:ind w:right="102"/>
        <w:jc w:val="both"/>
        <w:rPr>
          <w:rFonts w:asciiTheme="majorHAnsi" w:hAnsiTheme="majorHAnsi" w:cstheme="majorHAnsi"/>
          <w:b/>
          <w:bCs/>
          <w:sz w:val="20"/>
          <w:szCs w:val="20"/>
        </w:rPr>
      </w:pPr>
      <w:r w:rsidRPr="0005201B">
        <w:rPr>
          <w:rFonts w:asciiTheme="majorHAnsi" w:hAnsiTheme="majorHAnsi" w:cstheme="majorHAnsi"/>
          <w:b/>
          <w:bCs/>
          <w:i/>
          <w:sz w:val="20"/>
          <w:szCs w:val="20"/>
        </w:rPr>
        <w:t>Belediye [Baladiyah]</w:t>
      </w:r>
      <w:r w:rsidRPr="0005201B">
        <w:rPr>
          <w:rFonts w:asciiTheme="majorHAnsi" w:hAnsiTheme="majorHAnsi" w:cstheme="majorHAnsi"/>
          <w:b/>
          <w:bCs/>
          <w:sz w:val="20"/>
          <w:szCs w:val="20"/>
        </w:rPr>
        <w:t xml:space="preserve"> (municipality)</w:t>
      </w:r>
    </w:p>
    <w:p w14:paraId="66AFDD71" w14:textId="02964EF7" w:rsidR="0005201B" w:rsidRPr="0005201B" w:rsidRDefault="0005201B" w:rsidP="00087294">
      <w:pPr>
        <w:ind w:right="102"/>
        <w:jc w:val="both"/>
        <w:rPr>
          <w:rFonts w:asciiTheme="majorHAnsi" w:hAnsiTheme="majorHAnsi" w:cstheme="majorHAnsi"/>
          <w:sz w:val="20"/>
          <w:szCs w:val="20"/>
        </w:rPr>
      </w:pPr>
      <w:r w:rsidRPr="0005201B">
        <w:rPr>
          <w:rFonts w:asciiTheme="majorHAnsi" w:hAnsiTheme="majorHAnsi" w:cstheme="majorHAnsi"/>
          <w:sz w:val="20"/>
          <w:szCs w:val="20"/>
        </w:rPr>
        <w:t>The provincial Administration Law, 1867 introduced the establishment of municipal councils in the main towns</w:t>
      </w:r>
      <w:r w:rsidR="00FA1395">
        <w:rPr>
          <w:rFonts w:asciiTheme="majorHAnsi" w:hAnsiTheme="majorHAnsi" w:cstheme="majorHAnsi"/>
          <w:sz w:val="20"/>
          <w:szCs w:val="20"/>
        </w:rPr>
        <w:t>.</w:t>
      </w:r>
      <w:r w:rsidRPr="0005201B">
        <w:rPr>
          <w:rFonts w:asciiTheme="majorHAnsi" w:hAnsiTheme="majorHAnsi" w:cstheme="majorHAnsi"/>
          <w:sz w:val="20"/>
          <w:szCs w:val="20"/>
          <w:vertAlign w:val="superscript"/>
        </w:rPr>
        <w:t xml:space="preserve"> </w:t>
      </w:r>
      <w:r w:rsidRPr="0005201B">
        <w:rPr>
          <w:rFonts w:asciiTheme="majorHAnsi" w:hAnsiTheme="majorHAnsi" w:cstheme="majorHAnsi"/>
          <w:sz w:val="20"/>
          <w:szCs w:val="20"/>
        </w:rPr>
        <w:t>A municipal council was</w:t>
      </w:r>
      <w:r w:rsidR="00167B2F">
        <w:rPr>
          <w:rFonts w:asciiTheme="majorHAnsi" w:hAnsiTheme="majorHAnsi" w:cstheme="majorHAnsi"/>
          <w:sz w:val="20"/>
          <w:szCs w:val="20"/>
        </w:rPr>
        <w:t xml:space="preserve"> established in Nablus in 1868 </w:t>
      </w:r>
      <w:r w:rsidR="00FA1395">
        <w:rPr>
          <w:rFonts w:asciiTheme="majorHAnsi" w:hAnsiTheme="majorHAnsi" w:cstheme="majorHAnsi"/>
          <w:sz w:val="20"/>
          <w:szCs w:val="20"/>
        </w:rPr>
        <w:t>(</w:t>
      </w:r>
      <w:r w:rsidR="00FA1395" w:rsidRPr="00FA1395">
        <w:rPr>
          <w:rFonts w:asciiTheme="majorHAnsi" w:hAnsiTheme="majorHAnsi" w:cstheme="majorHAnsi"/>
          <w:sz w:val="20"/>
          <w:szCs w:val="20"/>
        </w:rPr>
        <w:t>Al-Nimir</w:t>
      </w:r>
      <w:r w:rsidR="00FA1395">
        <w:rPr>
          <w:rFonts w:asciiTheme="majorHAnsi" w:hAnsiTheme="majorHAnsi" w:cstheme="majorHAnsi"/>
          <w:sz w:val="20"/>
          <w:szCs w:val="20"/>
        </w:rPr>
        <w:t>, 1975).</w:t>
      </w:r>
      <w:r w:rsidR="00167B2F">
        <w:rPr>
          <w:rFonts w:asciiTheme="majorHAnsi" w:hAnsiTheme="majorHAnsi" w:cstheme="majorHAnsi"/>
          <w:sz w:val="20"/>
          <w:szCs w:val="20"/>
        </w:rPr>
        <w:t xml:space="preserve"> </w:t>
      </w:r>
      <w:r w:rsidRPr="0005201B">
        <w:rPr>
          <w:rFonts w:asciiTheme="majorHAnsi" w:hAnsiTheme="majorHAnsi" w:cstheme="majorHAnsi"/>
          <w:sz w:val="20"/>
          <w:szCs w:val="20"/>
        </w:rPr>
        <w:t>The municipalities were separate and independent judicial bodies which were considered one of the revolutionary developments within the traditional system of the Ottoman administration.</w:t>
      </w:r>
    </w:p>
    <w:p w14:paraId="03CF24B3" w14:textId="77777777" w:rsidR="0005201B" w:rsidRPr="0005201B" w:rsidRDefault="0005201B" w:rsidP="00087294">
      <w:pPr>
        <w:ind w:right="102"/>
        <w:jc w:val="both"/>
        <w:rPr>
          <w:rFonts w:asciiTheme="majorHAnsi" w:hAnsiTheme="majorHAnsi" w:cstheme="majorHAnsi"/>
          <w:b/>
          <w:bCs/>
          <w:sz w:val="20"/>
          <w:szCs w:val="20"/>
        </w:rPr>
      </w:pPr>
      <w:r w:rsidRPr="0005201B">
        <w:rPr>
          <w:rFonts w:asciiTheme="majorHAnsi" w:hAnsiTheme="majorHAnsi" w:cstheme="majorHAnsi"/>
          <w:b/>
          <w:bCs/>
          <w:i/>
          <w:sz w:val="20"/>
          <w:szCs w:val="20"/>
        </w:rPr>
        <w:t>Köy [Karyah]</w:t>
      </w:r>
      <w:r w:rsidRPr="0005201B">
        <w:rPr>
          <w:rFonts w:asciiTheme="majorHAnsi" w:hAnsiTheme="majorHAnsi" w:cstheme="majorHAnsi"/>
          <w:b/>
          <w:bCs/>
          <w:sz w:val="20"/>
          <w:szCs w:val="20"/>
        </w:rPr>
        <w:t xml:space="preserve"> (village)</w:t>
      </w:r>
    </w:p>
    <w:p w14:paraId="3CBFA90A" w14:textId="697D2ADD" w:rsidR="0005201B" w:rsidRPr="0005201B" w:rsidRDefault="0005201B" w:rsidP="00087294">
      <w:pPr>
        <w:ind w:right="102"/>
        <w:jc w:val="both"/>
        <w:rPr>
          <w:rFonts w:asciiTheme="majorHAnsi" w:hAnsiTheme="majorHAnsi" w:cstheme="majorHAnsi"/>
          <w:sz w:val="20"/>
          <w:szCs w:val="20"/>
        </w:rPr>
      </w:pPr>
      <w:r w:rsidRPr="0005201B">
        <w:rPr>
          <w:rFonts w:asciiTheme="majorHAnsi" w:hAnsiTheme="majorHAnsi" w:cstheme="majorHAnsi"/>
          <w:sz w:val="20"/>
          <w:szCs w:val="20"/>
        </w:rPr>
        <w:t xml:space="preserve">The sub-districts were divided into smaller echelons of administrative divisions.  These were villages, hamlets and farms. Each was governed by its own chief. To control these chiefs, the Ottoman authorities appointed a government-supervisor called </w:t>
      </w:r>
      <w:r w:rsidRPr="0005201B">
        <w:rPr>
          <w:rFonts w:asciiTheme="majorHAnsi" w:hAnsiTheme="majorHAnsi" w:cstheme="majorHAnsi"/>
          <w:i/>
          <w:sz w:val="20"/>
          <w:szCs w:val="20"/>
        </w:rPr>
        <w:t>Muhtar [Mukhtar]</w:t>
      </w:r>
      <w:r w:rsidR="00167B2F">
        <w:rPr>
          <w:rFonts w:asciiTheme="majorHAnsi" w:hAnsiTheme="majorHAnsi" w:cstheme="majorHAnsi"/>
          <w:sz w:val="20"/>
          <w:szCs w:val="20"/>
        </w:rPr>
        <w:t xml:space="preserve"> </w:t>
      </w:r>
      <w:r w:rsidR="00FA1395">
        <w:rPr>
          <w:rFonts w:asciiTheme="majorHAnsi" w:hAnsiTheme="majorHAnsi" w:cstheme="majorHAnsi"/>
          <w:sz w:val="20"/>
          <w:szCs w:val="20"/>
        </w:rPr>
        <w:t>(</w:t>
      </w:r>
      <w:r w:rsidR="00FA1395" w:rsidRPr="00FA1395">
        <w:rPr>
          <w:rFonts w:asciiTheme="majorHAnsi" w:hAnsiTheme="majorHAnsi" w:cstheme="majorHAnsi"/>
          <w:sz w:val="20"/>
          <w:szCs w:val="20"/>
        </w:rPr>
        <w:t>Gerber</w:t>
      </w:r>
      <w:r w:rsidR="00FA1395">
        <w:rPr>
          <w:rFonts w:asciiTheme="majorHAnsi" w:hAnsiTheme="majorHAnsi" w:cstheme="majorHAnsi"/>
          <w:sz w:val="20"/>
          <w:szCs w:val="20"/>
        </w:rPr>
        <w:t>, 1986)</w:t>
      </w:r>
      <w:r w:rsidR="00167B2F">
        <w:rPr>
          <w:rFonts w:asciiTheme="majorHAnsi" w:hAnsiTheme="majorHAnsi" w:cstheme="majorHAnsi"/>
          <w:sz w:val="20"/>
          <w:szCs w:val="20"/>
        </w:rPr>
        <w:t>.</w:t>
      </w:r>
    </w:p>
    <w:p w14:paraId="1FC4BF73" w14:textId="77777777" w:rsidR="0005201B" w:rsidRPr="0005201B" w:rsidRDefault="0005201B" w:rsidP="00087294">
      <w:pPr>
        <w:ind w:right="102"/>
        <w:jc w:val="both"/>
        <w:rPr>
          <w:rFonts w:asciiTheme="majorHAnsi" w:hAnsiTheme="majorHAnsi" w:cstheme="majorHAnsi"/>
          <w:b/>
          <w:bCs/>
          <w:sz w:val="20"/>
          <w:szCs w:val="20"/>
        </w:rPr>
      </w:pPr>
      <w:r w:rsidRPr="0005201B">
        <w:rPr>
          <w:rFonts w:asciiTheme="majorHAnsi" w:hAnsiTheme="majorHAnsi" w:cstheme="majorHAnsi"/>
          <w:b/>
          <w:bCs/>
          <w:i/>
          <w:sz w:val="20"/>
          <w:szCs w:val="20"/>
        </w:rPr>
        <w:lastRenderedPageBreak/>
        <w:t>Mahalle [Mahallah]</w:t>
      </w:r>
      <w:r w:rsidRPr="0005201B">
        <w:rPr>
          <w:rFonts w:asciiTheme="majorHAnsi" w:hAnsiTheme="majorHAnsi" w:cstheme="majorHAnsi"/>
          <w:b/>
          <w:bCs/>
          <w:sz w:val="20"/>
          <w:szCs w:val="20"/>
        </w:rPr>
        <w:t xml:space="preserve"> (quarter or neighborhood)</w:t>
      </w:r>
    </w:p>
    <w:p w14:paraId="59F157F2" w14:textId="033B8FC1" w:rsidR="0005201B" w:rsidRPr="0005201B" w:rsidRDefault="0005201B" w:rsidP="00087294">
      <w:pPr>
        <w:ind w:right="102"/>
        <w:jc w:val="both"/>
        <w:rPr>
          <w:rFonts w:asciiTheme="majorHAnsi" w:hAnsiTheme="majorHAnsi" w:cstheme="majorHAnsi"/>
          <w:sz w:val="20"/>
          <w:szCs w:val="20"/>
        </w:rPr>
      </w:pPr>
      <w:r w:rsidRPr="0005201B">
        <w:rPr>
          <w:rFonts w:asciiTheme="majorHAnsi" w:hAnsiTheme="majorHAnsi" w:cstheme="majorHAnsi"/>
          <w:sz w:val="20"/>
          <w:szCs w:val="20"/>
        </w:rPr>
        <w:t>The Provincial Administration Law, 1887 divided towns and cities into neighborhoods. The neighborhood should contain at least fifty houses and it had the administrative level of a village</w:t>
      </w:r>
      <w:r w:rsidR="00FA1395">
        <w:rPr>
          <w:rFonts w:asciiTheme="majorHAnsi" w:hAnsiTheme="majorHAnsi" w:cstheme="majorHAnsi"/>
          <w:sz w:val="20"/>
          <w:szCs w:val="20"/>
        </w:rPr>
        <w:t xml:space="preserve"> (</w:t>
      </w:r>
      <w:r w:rsidR="00FA1395" w:rsidRPr="00FA1395">
        <w:rPr>
          <w:rFonts w:asciiTheme="majorHAnsi" w:hAnsiTheme="majorHAnsi" w:cstheme="majorHAnsi"/>
          <w:sz w:val="20"/>
          <w:szCs w:val="20"/>
        </w:rPr>
        <w:t>Findley</w:t>
      </w:r>
      <w:r w:rsidR="00FA1395">
        <w:rPr>
          <w:rFonts w:asciiTheme="majorHAnsi" w:hAnsiTheme="majorHAnsi" w:cstheme="majorHAnsi"/>
          <w:sz w:val="20"/>
          <w:szCs w:val="20"/>
        </w:rPr>
        <w:t>, 1986)</w:t>
      </w:r>
      <w:r w:rsidR="00FA1395" w:rsidRPr="0005201B">
        <w:rPr>
          <w:rFonts w:asciiTheme="majorHAnsi" w:hAnsiTheme="majorHAnsi" w:cstheme="majorHAnsi"/>
          <w:sz w:val="20"/>
          <w:szCs w:val="20"/>
        </w:rPr>
        <w:t xml:space="preserve">. </w:t>
      </w:r>
      <w:r w:rsidRPr="0005201B">
        <w:rPr>
          <w:rFonts w:asciiTheme="majorHAnsi" w:hAnsiTheme="majorHAnsi" w:cstheme="majorHAnsi"/>
          <w:sz w:val="20"/>
          <w:szCs w:val="20"/>
        </w:rPr>
        <w:t xml:space="preserve">Each neighborhood had its own </w:t>
      </w:r>
      <w:r w:rsidRPr="0005201B">
        <w:rPr>
          <w:rFonts w:asciiTheme="majorHAnsi" w:hAnsiTheme="majorHAnsi" w:cstheme="majorHAnsi"/>
          <w:i/>
          <w:iCs/>
          <w:sz w:val="20"/>
          <w:szCs w:val="20"/>
        </w:rPr>
        <w:t>Muhtar</w:t>
      </w:r>
      <w:r w:rsidRPr="0005201B">
        <w:rPr>
          <w:rFonts w:asciiTheme="majorHAnsi" w:hAnsiTheme="majorHAnsi" w:cstheme="majorHAnsi"/>
          <w:sz w:val="20"/>
          <w:szCs w:val="20"/>
        </w:rPr>
        <w:t xml:space="preserve"> or chief and its own services like small shops, a mosque and a bath</w:t>
      </w:r>
      <w:r w:rsidR="00FA1395">
        <w:rPr>
          <w:rFonts w:asciiTheme="majorHAnsi" w:hAnsiTheme="majorHAnsi" w:cstheme="majorHAnsi"/>
          <w:sz w:val="20"/>
          <w:szCs w:val="20"/>
        </w:rPr>
        <w:t xml:space="preserve"> (</w:t>
      </w:r>
      <w:r w:rsidR="00FA1395" w:rsidRPr="00FA1395">
        <w:rPr>
          <w:rFonts w:asciiTheme="majorHAnsi" w:hAnsiTheme="majorHAnsi" w:cstheme="majorHAnsi"/>
          <w:sz w:val="20"/>
          <w:szCs w:val="20"/>
        </w:rPr>
        <w:t xml:space="preserve">El </w:t>
      </w:r>
      <w:r w:rsidR="00FA1395">
        <w:rPr>
          <w:rFonts w:asciiTheme="majorHAnsi" w:hAnsiTheme="majorHAnsi" w:cstheme="majorHAnsi"/>
          <w:sz w:val="20"/>
          <w:szCs w:val="20"/>
        </w:rPr>
        <w:t>–</w:t>
      </w:r>
      <w:r w:rsidR="00FA1395" w:rsidRPr="00FA1395">
        <w:rPr>
          <w:rFonts w:asciiTheme="majorHAnsi" w:hAnsiTheme="majorHAnsi" w:cstheme="majorHAnsi"/>
          <w:sz w:val="20"/>
          <w:szCs w:val="20"/>
        </w:rPr>
        <w:t>Nahal</w:t>
      </w:r>
      <w:r w:rsidR="00FA1395">
        <w:rPr>
          <w:rFonts w:asciiTheme="majorHAnsi" w:hAnsiTheme="majorHAnsi" w:cstheme="majorHAnsi"/>
          <w:sz w:val="20"/>
          <w:szCs w:val="20"/>
        </w:rPr>
        <w:t>, 1979)</w:t>
      </w:r>
      <w:r w:rsidRPr="0005201B">
        <w:rPr>
          <w:rFonts w:asciiTheme="majorHAnsi" w:hAnsiTheme="majorHAnsi" w:cstheme="majorHAnsi"/>
          <w:sz w:val="20"/>
          <w:szCs w:val="20"/>
        </w:rPr>
        <w:t>.</w:t>
      </w:r>
    </w:p>
    <w:p w14:paraId="1AC7CF75" w14:textId="41847AE2" w:rsidR="0005201B" w:rsidRDefault="0005201B" w:rsidP="00087294">
      <w:pPr>
        <w:ind w:right="102"/>
        <w:jc w:val="both"/>
        <w:rPr>
          <w:rFonts w:asciiTheme="majorHAnsi" w:hAnsiTheme="majorHAnsi" w:cstheme="majorHAnsi"/>
          <w:sz w:val="20"/>
          <w:szCs w:val="20"/>
        </w:rPr>
      </w:pPr>
      <w:r w:rsidRPr="0005201B">
        <w:rPr>
          <w:rFonts w:asciiTheme="majorHAnsi" w:hAnsiTheme="majorHAnsi" w:cstheme="majorHAnsi"/>
          <w:sz w:val="20"/>
          <w:szCs w:val="20"/>
        </w:rPr>
        <w:t xml:space="preserve">The administration of Palestinian towns and villages continued to develop on its own path until the provincial administration law of 1913 which altered some of the above regulations. It insisted that all public projects like roads, drainage works, irrigation canals, tram and bus lanes in the towns and cities should be the responsibility of the </w:t>
      </w:r>
      <w:r w:rsidRPr="0005201B">
        <w:rPr>
          <w:rFonts w:asciiTheme="majorHAnsi" w:hAnsiTheme="majorHAnsi" w:cstheme="majorHAnsi"/>
          <w:i/>
          <w:sz w:val="20"/>
          <w:szCs w:val="20"/>
        </w:rPr>
        <w:t>Vali</w:t>
      </w:r>
      <w:r w:rsidRPr="0005201B">
        <w:rPr>
          <w:rFonts w:asciiTheme="majorHAnsi" w:hAnsiTheme="majorHAnsi" w:cstheme="majorHAnsi"/>
          <w:sz w:val="20"/>
          <w:szCs w:val="20"/>
        </w:rPr>
        <w:t>. This responsibility also included lighting and water projects, the development of agriculture, trade and industry, and the establishment of public institutions</w:t>
      </w:r>
      <w:r w:rsidR="00112B8D">
        <w:rPr>
          <w:rFonts w:asciiTheme="majorHAnsi" w:hAnsiTheme="majorHAnsi" w:cstheme="majorHAnsi"/>
          <w:sz w:val="20"/>
          <w:szCs w:val="20"/>
        </w:rPr>
        <w:t xml:space="preserve"> (</w:t>
      </w:r>
      <w:r w:rsidR="00112B8D" w:rsidRPr="003969F0">
        <w:rPr>
          <w:rFonts w:asciiTheme="majorHAnsi" w:hAnsiTheme="majorHAnsi" w:cstheme="majorHAnsi"/>
          <w:sz w:val="20"/>
          <w:szCs w:val="20"/>
        </w:rPr>
        <w:t>Findley</w:t>
      </w:r>
      <w:r w:rsidR="00112B8D" w:rsidRPr="0005201B">
        <w:rPr>
          <w:rStyle w:val="FootnoteReference"/>
          <w:rFonts w:asciiTheme="majorHAnsi" w:hAnsiTheme="majorHAnsi" w:cstheme="majorHAnsi"/>
          <w:sz w:val="20"/>
          <w:szCs w:val="20"/>
        </w:rPr>
        <w:t xml:space="preserve"> </w:t>
      </w:r>
      <w:r w:rsidR="00112B8D">
        <w:rPr>
          <w:rFonts w:asciiTheme="majorHAnsi" w:hAnsiTheme="majorHAnsi" w:cstheme="majorHAnsi"/>
          <w:sz w:val="20"/>
          <w:szCs w:val="20"/>
        </w:rPr>
        <w:t>, 1986).</w:t>
      </w:r>
    </w:p>
    <w:p w14:paraId="126B0633" w14:textId="77777777" w:rsidR="00087294" w:rsidRPr="0005201B" w:rsidRDefault="00087294" w:rsidP="00087294">
      <w:pPr>
        <w:ind w:right="102"/>
        <w:jc w:val="both"/>
        <w:rPr>
          <w:rFonts w:asciiTheme="majorHAnsi" w:hAnsiTheme="majorHAnsi" w:cstheme="majorHAnsi"/>
          <w:sz w:val="20"/>
          <w:szCs w:val="20"/>
        </w:rPr>
      </w:pPr>
    </w:p>
    <w:p w14:paraId="1ED08CCF" w14:textId="77777777" w:rsidR="0005201B" w:rsidRPr="0005201B" w:rsidRDefault="0005201B" w:rsidP="00087294">
      <w:pPr>
        <w:ind w:right="102"/>
        <w:jc w:val="both"/>
        <w:rPr>
          <w:rFonts w:asciiTheme="majorHAnsi" w:hAnsiTheme="majorHAnsi" w:cstheme="majorHAnsi"/>
          <w:b/>
          <w:bCs/>
          <w:iCs/>
          <w:sz w:val="20"/>
          <w:szCs w:val="20"/>
        </w:rPr>
      </w:pPr>
      <w:r w:rsidRPr="0005201B">
        <w:rPr>
          <w:rFonts w:asciiTheme="majorHAnsi" w:hAnsiTheme="majorHAnsi" w:cstheme="majorHAnsi"/>
          <w:b/>
          <w:bCs/>
          <w:iCs/>
          <w:sz w:val="20"/>
          <w:szCs w:val="20"/>
        </w:rPr>
        <w:t>Ottoman administrative system and the Palestinian urban structure</w:t>
      </w:r>
    </w:p>
    <w:p w14:paraId="63D8F0FC" w14:textId="077DEAB2" w:rsidR="0031792C" w:rsidRDefault="0005201B" w:rsidP="0031792C">
      <w:pPr>
        <w:ind w:right="102"/>
        <w:jc w:val="both"/>
        <w:rPr>
          <w:rFonts w:asciiTheme="majorHAnsi" w:hAnsiTheme="majorHAnsi" w:cstheme="majorHAnsi"/>
          <w:sz w:val="20"/>
          <w:szCs w:val="20"/>
        </w:rPr>
      </w:pPr>
      <w:r w:rsidRPr="0005201B">
        <w:rPr>
          <w:rFonts w:asciiTheme="majorHAnsi" w:hAnsiTheme="majorHAnsi" w:cstheme="majorHAnsi"/>
          <w:sz w:val="20"/>
          <w:szCs w:val="20"/>
        </w:rPr>
        <w:t>The provincial administration was influential through the building of government buildings, mosques, clocktowers, public parks and fountains</w:t>
      </w:r>
      <w:r w:rsidR="00112B8D">
        <w:rPr>
          <w:rFonts w:asciiTheme="majorHAnsi" w:hAnsiTheme="majorHAnsi" w:cstheme="majorHAnsi"/>
          <w:sz w:val="20"/>
          <w:szCs w:val="20"/>
        </w:rPr>
        <w:t xml:space="preserve"> (</w:t>
      </w:r>
      <w:r w:rsidR="00112B8D" w:rsidRPr="003969F0">
        <w:rPr>
          <w:rFonts w:asciiTheme="majorHAnsi" w:hAnsiTheme="majorHAnsi" w:cstheme="majorHAnsi"/>
          <w:sz w:val="20"/>
          <w:szCs w:val="20"/>
        </w:rPr>
        <w:t>Kark</w:t>
      </w:r>
      <w:r w:rsidR="00112B8D">
        <w:rPr>
          <w:rFonts w:asciiTheme="majorHAnsi" w:hAnsiTheme="majorHAnsi" w:cstheme="majorHAnsi"/>
          <w:sz w:val="20"/>
          <w:szCs w:val="20"/>
        </w:rPr>
        <w:t>, 1986)</w:t>
      </w:r>
      <w:r w:rsidRPr="0005201B">
        <w:rPr>
          <w:rFonts w:asciiTheme="majorHAnsi" w:hAnsiTheme="majorHAnsi" w:cstheme="majorHAnsi"/>
          <w:sz w:val="20"/>
          <w:szCs w:val="20"/>
        </w:rPr>
        <w:t>.</w:t>
      </w:r>
      <w:r w:rsidR="00112B8D">
        <w:rPr>
          <w:rFonts w:asciiTheme="majorHAnsi" w:hAnsiTheme="majorHAnsi" w:cstheme="majorHAnsi"/>
          <w:sz w:val="20"/>
          <w:szCs w:val="20"/>
        </w:rPr>
        <w:t xml:space="preserve"> </w:t>
      </w:r>
      <w:r w:rsidR="00112B8D" w:rsidRPr="0005201B">
        <w:rPr>
          <w:rFonts w:asciiTheme="majorHAnsi" w:hAnsiTheme="majorHAnsi" w:cstheme="majorHAnsi"/>
          <w:sz w:val="20"/>
          <w:szCs w:val="20"/>
        </w:rPr>
        <w:t xml:space="preserve"> </w:t>
      </w:r>
      <w:r w:rsidRPr="0005201B">
        <w:rPr>
          <w:rFonts w:asciiTheme="majorHAnsi" w:hAnsiTheme="majorHAnsi" w:cstheme="majorHAnsi"/>
          <w:sz w:val="20"/>
          <w:szCs w:val="20"/>
        </w:rPr>
        <w:t>Although the Ottoman administrative system has its own hierarchy, it did not form any hierarchical institutional framework for the control and management of the urban structures in Palestine. The different components of this system provided general and indirect tools that helped the development of the Palestinian towns and cities in a non-systematic way. The municipality was the only institution directly linked to the control and management of urban change in terms of municipal services but without any pre-determined plans.</w:t>
      </w:r>
      <w:r w:rsidR="00C34F4C">
        <w:rPr>
          <w:rFonts w:asciiTheme="majorHAnsi" w:hAnsiTheme="majorHAnsi" w:cstheme="majorHAnsi"/>
          <w:sz w:val="20"/>
          <w:szCs w:val="20"/>
        </w:rPr>
        <w:t xml:space="preserve"> </w:t>
      </w:r>
      <w:r w:rsidR="0031792C">
        <w:rPr>
          <w:rFonts w:asciiTheme="majorHAnsi" w:hAnsiTheme="majorHAnsi" w:cstheme="majorHAnsi"/>
          <w:sz w:val="20"/>
          <w:szCs w:val="20"/>
        </w:rPr>
        <w:t xml:space="preserve">One example is the dvelopment of Jerusalem from a small town at the turn of the 18th century to a large </w:t>
      </w:r>
      <w:r w:rsidR="0031792C" w:rsidRPr="0031792C">
        <w:rPr>
          <w:rFonts w:asciiTheme="majorHAnsi" w:hAnsiTheme="majorHAnsi" w:cstheme="majorHAnsi"/>
          <w:sz w:val="20"/>
          <w:szCs w:val="20"/>
        </w:rPr>
        <w:t>provincial center</w:t>
      </w:r>
      <w:r w:rsidR="0031792C">
        <w:rPr>
          <w:rFonts w:asciiTheme="majorHAnsi" w:hAnsiTheme="majorHAnsi" w:cstheme="majorHAnsi"/>
          <w:sz w:val="20"/>
          <w:szCs w:val="20"/>
        </w:rPr>
        <w:t xml:space="preserve"> by the end of the 19th century. </w:t>
      </w:r>
      <w:r w:rsidR="00024DC6">
        <w:rPr>
          <w:rFonts w:asciiTheme="majorHAnsi" w:hAnsiTheme="majorHAnsi" w:cstheme="majorHAnsi"/>
          <w:sz w:val="20"/>
          <w:szCs w:val="20"/>
        </w:rPr>
        <w:t>T</w:t>
      </w:r>
      <w:r w:rsidR="0031792C">
        <w:rPr>
          <w:rFonts w:asciiTheme="majorHAnsi" w:hAnsiTheme="majorHAnsi" w:cstheme="majorHAnsi"/>
          <w:sz w:val="20"/>
          <w:szCs w:val="20"/>
        </w:rPr>
        <w:t>h</w:t>
      </w:r>
      <w:r w:rsidR="00024DC6">
        <w:rPr>
          <w:rFonts w:asciiTheme="majorHAnsi" w:hAnsiTheme="majorHAnsi" w:cstheme="majorHAnsi"/>
          <w:sz w:val="20"/>
          <w:szCs w:val="20"/>
        </w:rPr>
        <w:t>is came</w:t>
      </w:r>
      <w:r w:rsidR="0031792C">
        <w:rPr>
          <w:rFonts w:asciiTheme="majorHAnsi" w:hAnsiTheme="majorHAnsi" w:cstheme="majorHAnsi"/>
          <w:sz w:val="20"/>
          <w:szCs w:val="20"/>
        </w:rPr>
        <w:t xml:space="preserve"> as a result of the continuous Ottoman </w:t>
      </w:r>
      <w:r w:rsidR="0031792C" w:rsidRPr="0031792C">
        <w:rPr>
          <w:rFonts w:asciiTheme="majorHAnsi" w:hAnsiTheme="majorHAnsi" w:cstheme="majorHAnsi"/>
          <w:sz w:val="20"/>
          <w:szCs w:val="20"/>
        </w:rPr>
        <w:t>administration</w:t>
      </w:r>
      <w:r w:rsidR="0031792C">
        <w:rPr>
          <w:rFonts w:asciiTheme="majorHAnsi" w:hAnsiTheme="majorHAnsi" w:cstheme="majorHAnsi"/>
          <w:sz w:val="20"/>
          <w:szCs w:val="20"/>
        </w:rPr>
        <w:t xml:space="preserve"> decisions</w:t>
      </w:r>
      <w:r w:rsidR="0031792C" w:rsidRPr="0031792C">
        <w:rPr>
          <w:rFonts w:asciiTheme="majorHAnsi" w:hAnsiTheme="majorHAnsi" w:cstheme="majorHAnsi"/>
          <w:sz w:val="20"/>
          <w:szCs w:val="20"/>
        </w:rPr>
        <w:t xml:space="preserve"> and </w:t>
      </w:r>
      <w:r w:rsidR="0031792C">
        <w:rPr>
          <w:rFonts w:asciiTheme="majorHAnsi" w:hAnsiTheme="majorHAnsi" w:cstheme="majorHAnsi"/>
          <w:sz w:val="20"/>
          <w:szCs w:val="20"/>
        </w:rPr>
        <w:t xml:space="preserve">the transformation of </w:t>
      </w:r>
      <w:r w:rsidR="0031792C" w:rsidRPr="0031792C">
        <w:rPr>
          <w:rFonts w:asciiTheme="majorHAnsi" w:hAnsiTheme="majorHAnsi" w:cstheme="majorHAnsi"/>
          <w:sz w:val="20"/>
          <w:szCs w:val="20"/>
        </w:rPr>
        <w:t xml:space="preserve"> </w:t>
      </w:r>
      <w:r w:rsidR="00024DC6">
        <w:rPr>
          <w:rFonts w:asciiTheme="majorHAnsi" w:hAnsiTheme="majorHAnsi" w:cstheme="majorHAnsi"/>
          <w:sz w:val="20"/>
          <w:szCs w:val="20"/>
        </w:rPr>
        <w:t xml:space="preserve">it into </w:t>
      </w:r>
      <w:r w:rsidR="0031792C" w:rsidRPr="0031792C">
        <w:rPr>
          <w:rFonts w:asciiTheme="majorHAnsi" w:hAnsiTheme="majorHAnsi" w:cstheme="majorHAnsi"/>
          <w:sz w:val="20"/>
          <w:szCs w:val="20"/>
        </w:rPr>
        <w:t>an independent district (mutaṣṣarıflık) in 1872–74</w:t>
      </w:r>
      <w:r w:rsidR="00024DC6">
        <w:rPr>
          <w:rFonts w:asciiTheme="majorHAnsi" w:hAnsiTheme="majorHAnsi" w:cstheme="majorHAnsi"/>
          <w:sz w:val="20"/>
          <w:szCs w:val="20"/>
        </w:rPr>
        <w:t xml:space="preserve"> (</w:t>
      </w:r>
      <w:r w:rsidR="00024DC6" w:rsidRPr="00024DC6">
        <w:rPr>
          <w:rFonts w:asciiTheme="majorHAnsi" w:hAnsiTheme="majorHAnsi" w:cstheme="majorHAnsi"/>
          <w:sz w:val="20"/>
          <w:szCs w:val="20"/>
        </w:rPr>
        <w:t>Dimitriadis, 2018)</w:t>
      </w:r>
      <w:r w:rsidR="00E24223">
        <w:rPr>
          <w:rFonts w:asciiTheme="majorHAnsi" w:hAnsiTheme="majorHAnsi" w:cstheme="majorHAnsi"/>
          <w:sz w:val="20"/>
          <w:szCs w:val="20"/>
        </w:rPr>
        <w:t xml:space="preserve">. During this period, many development plans were prepared as project plans without any comprehensive planning framework. One example is the tram projects proposed for Jaffa and Jerusalem but were </w:t>
      </w:r>
      <w:r w:rsidR="00A87578">
        <w:rPr>
          <w:rFonts w:asciiTheme="majorHAnsi" w:hAnsiTheme="majorHAnsi" w:cstheme="majorHAnsi"/>
          <w:sz w:val="20"/>
          <w:szCs w:val="20"/>
        </w:rPr>
        <w:t>excuted (Figure 2).</w:t>
      </w:r>
    </w:p>
    <w:p w14:paraId="7AAB25C5" w14:textId="12D4F559" w:rsidR="00A87578" w:rsidRDefault="00A87578" w:rsidP="0031792C">
      <w:pPr>
        <w:ind w:right="102"/>
        <w:jc w:val="both"/>
        <w:rPr>
          <w:rFonts w:asciiTheme="majorHAnsi" w:hAnsiTheme="majorHAnsi" w:cstheme="majorHAnsi"/>
          <w:sz w:val="20"/>
          <w:szCs w:val="20"/>
        </w:rPr>
      </w:pPr>
    </w:p>
    <w:p w14:paraId="0ED517B3" w14:textId="1D47FB25" w:rsidR="00A87578" w:rsidRDefault="00A87578" w:rsidP="0031792C">
      <w:pPr>
        <w:ind w:right="102"/>
        <w:jc w:val="both"/>
        <w:rPr>
          <w:rFonts w:asciiTheme="majorHAnsi" w:hAnsiTheme="majorHAnsi" w:cstheme="majorHAnsi"/>
          <w:sz w:val="20"/>
          <w:szCs w:val="20"/>
        </w:rPr>
      </w:pPr>
      <w:r>
        <w:rPr>
          <w:noProof/>
          <w:lang w:val="en-US"/>
        </w:rPr>
        <w:drawing>
          <wp:inline distT="0" distB="0" distL="0" distR="0" wp14:anchorId="34869DD6" wp14:editId="4B514EF7">
            <wp:extent cx="2885515" cy="1593498"/>
            <wp:effectExtent l="19050" t="19050" r="10160" b="2603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25463" t="22335" r="4000" b="8420"/>
                    <a:stretch/>
                  </pic:blipFill>
                  <pic:spPr bwMode="auto">
                    <a:xfrm>
                      <a:off x="0" y="0"/>
                      <a:ext cx="2891390" cy="1596743"/>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05BAE2F0" w14:textId="774B1D80" w:rsidR="00A87578" w:rsidRDefault="00A87578" w:rsidP="00A87578">
      <w:pPr>
        <w:pStyle w:val="FootnoteText"/>
        <w:ind w:hanging="14"/>
      </w:pPr>
      <w:r w:rsidRPr="00607D7E">
        <w:rPr>
          <w:rFonts w:asciiTheme="majorHAnsi" w:eastAsiaTheme="minorEastAsia" w:hAnsiTheme="majorHAnsi" w:cstheme="majorHAnsi"/>
          <w:b/>
          <w:bCs/>
          <w:color w:val="auto"/>
          <w:spacing w:val="0"/>
          <w:w w:val="100"/>
          <w:szCs w:val="20"/>
          <w:lang w:val="tr-TR"/>
        </w:rPr>
        <w:t xml:space="preserve">Figure </w:t>
      </w:r>
      <w:r>
        <w:rPr>
          <w:rFonts w:asciiTheme="majorHAnsi" w:eastAsiaTheme="minorEastAsia" w:hAnsiTheme="majorHAnsi" w:cstheme="majorHAnsi"/>
          <w:b/>
          <w:bCs/>
          <w:color w:val="auto"/>
          <w:spacing w:val="0"/>
          <w:w w:val="100"/>
          <w:szCs w:val="20"/>
          <w:lang w:val="tr-TR"/>
        </w:rPr>
        <w:t>2</w:t>
      </w:r>
      <w:r w:rsidRPr="00607D7E">
        <w:rPr>
          <w:rFonts w:asciiTheme="majorHAnsi" w:eastAsiaTheme="minorEastAsia" w:hAnsiTheme="majorHAnsi" w:cstheme="majorHAnsi"/>
          <w:b/>
          <w:bCs/>
          <w:color w:val="auto"/>
          <w:spacing w:val="0"/>
          <w:w w:val="100"/>
          <w:szCs w:val="20"/>
          <w:lang w:val="tr-TR"/>
        </w:rPr>
        <w:t>:</w:t>
      </w:r>
      <w:r w:rsidRPr="00607D7E">
        <w:rPr>
          <w:rFonts w:asciiTheme="majorHAnsi" w:eastAsiaTheme="minorEastAsia" w:hAnsiTheme="majorHAnsi" w:cstheme="majorHAnsi"/>
          <w:color w:val="auto"/>
          <w:spacing w:val="0"/>
          <w:w w:val="100"/>
          <w:szCs w:val="20"/>
          <w:lang w:val="tr-TR"/>
        </w:rPr>
        <w:t xml:space="preserve"> </w:t>
      </w:r>
      <w:r w:rsidRPr="00A87578">
        <w:rPr>
          <w:rFonts w:asciiTheme="majorHAnsi" w:eastAsiaTheme="minorEastAsia" w:hAnsiTheme="majorHAnsi" w:cstheme="majorHAnsi"/>
          <w:color w:val="auto"/>
          <w:spacing w:val="0"/>
          <w:w w:val="100"/>
          <w:szCs w:val="20"/>
          <w:lang w:val="tr-TR"/>
        </w:rPr>
        <w:t>Tram project for the suburbs of Jerusalem</w:t>
      </w:r>
      <w:r>
        <w:t>.</w:t>
      </w:r>
    </w:p>
    <w:p w14:paraId="6D7A7961" w14:textId="5DD99722" w:rsidR="00A87578" w:rsidRDefault="00A87578" w:rsidP="00A87578">
      <w:pPr>
        <w:pStyle w:val="FootnoteText"/>
        <w:ind w:hanging="14"/>
        <w:rPr>
          <w:rFonts w:asciiTheme="majorHAnsi" w:hAnsiTheme="majorHAnsi" w:cstheme="majorHAnsi"/>
          <w:szCs w:val="20"/>
        </w:rPr>
      </w:pPr>
      <w:r w:rsidRPr="00576549">
        <w:rPr>
          <w:rFonts w:asciiTheme="majorHAnsi" w:eastAsiaTheme="minorEastAsia" w:hAnsiTheme="majorHAnsi" w:cstheme="majorHAnsi"/>
          <w:b/>
          <w:bCs/>
          <w:color w:val="auto"/>
          <w:spacing w:val="0"/>
          <w:w w:val="100"/>
          <w:szCs w:val="20"/>
          <w:lang w:val="tr-TR"/>
        </w:rPr>
        <w:t>Source:</w:t>
      </w:r>
      <w:r w:rsidRPr="00576549">
        <w:rPr>
          <w:rFonts w:asciiTheme="majorHAnsi" w:eastAsiaTheme="minorEastAsia" w:hAnsiTheme="majorHAnsi" w:cstheme="majorHAnsi"/>
          <w:color w:val="auto"/>
          <w:spacing w:val="0"/>
          <w:w w:val="100"/>
          <w:szCs w:val="20"/>
          <w:lang w:val="tr-TR"/>
        </w:rPr>
        <w:t xml:space="preserve"> </w:t>
      </w:r>
      <w:proofErr w:type="spellStart"/>
      <w:r w:rsidRPr="00024DC6">
        <w:rPr>
          <w:rFonts w:asciiTheme="majorHAnsi" w:hAnsiTheme="majorHAnsi" w:cstheme="majorHAnsi"/>
          <w:szCs w:val="20"/>
        </w:rPr>
        <w:t>Dimitriadis</w:t>
      </w:r>
      <w:proofErr w:type="spellEnd"/>
      <w:r w:rsidRPr="00024DC6">
        <w:rPr>
          <w:rFonts w:asciiTheme="majorHAnsi" w:hAnsiTheme="majorHAnsi" w:cstheme="majorHAnsi"/>
          <w:szCs w:val="20"/>
        </w:rPr>
        <w:t>, 2018</w:t>
      </w:r>
      <w:r>
        <w:rPr>
          <w:rFonts w:asciiTheme="majorHAnsi" w:hAnsiTheme="majorHAnsi" w:cstheme="majorHAnsi"/>
          <w:szCs w:val="20"/>
        </w:rPr>
        <w:t>.</w:t>
      </w:r>
    </w:p>
    <w:p w14:paraId="2289F003" w14:textId="77777777" w:rsidR="0031792C" w:rsidRDefault="0031792C" w:rsidP="0031792C">
      <w:pPr>
        <w:ind w:right="102"/>
        <w:jc w:val="both"/>
        <w:rPr>
          <w:rFonts w:asciiTheme="majorHAnsi" w:hAnsiTheme="majorHAnsi" w:cstheme="majorHAnsi"/>
          <w:sz w:val="20"/>
          <w:szCs w:val="20"/>
        </w:rPr>
      </w:pPr>
    </w:p>
    <w:p w14:paraId="1929CC35" w14:textId="4B18AB01" w:rsidR="0005201B" w:rsidRDefault="0031792C" w:rsidP="0031792C">
      <w:pPr>
        <w:ind w:right="102"/>
        <w:jc w:val="both"/>
        <w:rPr>
          <w:rFonts w:asciiTheme="majorHAnsi" w:hAnsiTheme="majorHAnsi" w:cstheme="majorHAnsi"/>
          <w:sz w:val="20"/>
          <w:szCs w:val="20"/>
        </w:rPr>
      </w:pPr>
      <w:r>
        <w:rPr>
          <w:rFonts w:asciiTheme="majorHAnsi" w:hAnsiTheme="majorHAnsi" w:cstheme="majorHAnsi"/>
          <w:sz w:val="20"/>
          <w:szCs w:val="20"/>
        </w:rPr>
        <w:t>Another</w:t>
      </w:r>
      <w:r w:rsidR="00C34F4C">
        <w:rPr>
          <w:rFonts w:asciiTheme="majorHAnsi" w:hAnsiTheme="majorHAnsi" w:cstheme="majorHAnsi"/>
          <w:sz w:val="20"/>
          <w:szCs w:val="20"/>
        </w:rPr>
        <w:t xml:space="preserve"> example is the dvelopment of te Bosian quarter in the town of Caesarea at the mediterrainian shores north of Palestine. The central government in Istanbul ordered the allotment of the land and the building of the quarter and its services</w:t>
      </w:r>
      <w:r w:rsidR="009C2FF6">
        <w:rPr>
          <w:rFonts w:asciiTheme="majorHAnsi" w:hAnsiTheme="majorHAnsi" w:cstheme="majorHAnsi"/>
          <w:sz w:val="20"/>
          <w:szCs w:val="20"/>
        </w:rPr>
        <w:t xml:space="preserve"> like a mosque, caravansary and the house of the Bosnian governor</w:t>
      </w:r>
      <w:r w:rsidR="00C34F4C">
        <w:rPr>
          <w:rFonts w:asciiTheme="majorHAnsi" w:hAnsiTheme="majorHAnsi" w:cstheme="majorHAnsi"/>
          <w:sz w:val="20"/>
          <w:szCs w:val="20"/>
        </w:rPr>
        <w:t xml:space="preserve">. </w:t>
      </w:r>
      <w:r w:rsidR="009C2FF6">
        <w:rPr>
          <w:rFonts w:asciiTheme="majorHAnsi" w:hAnsiTheme="majorHAnsi" w:cstheme="majorHAnsi"/>
          <w:sz w:val="20"/>
          <w:szCs w:val="20"/>
        </w:rPr>
        <w:t xml:space="preserve">A plan was prepared in 1888 for it (Figure </w:t>
      </w:r>
      <w:r w:rsidR="00106022">
        <w:rPr>
          <w:rFonts w:asciiTheme="majorHAnsi" w:hAnsiTheme="majorHAnsi" w:cstheme="majorHAnsi"/>
          <w:sz w:val="20"/>
          <w:szCs w:val="20"/>
        </w:rPr>
        <w:t>3</w:t>
      </w:r>
      <w:r w:rsidR="009C2FF6">
        <w:rPr>
          <w:rFonts w:asciiTheme="majorHAnsi" w:hAnsiTheme="majorHAnsi" w:cstheme="majorHAnsi"/>
          <w:sz w:val="20"/>
          <w:szCs w:val="20"/>
        </w:rPr>
        <w:t xml:space="preserve">). </w:t>
      </w:r>
    </w:p>
    <w:p w14:paraId="01BEFBFE" w14:textId="77777777" w:rsidR="009C2FF6" w:rsidRDefault="009C2FF6" w:rsidP="00087294">
      <w:pPr>
        <w:ind w:right="102"/>
        <w:jc w:val="both"/>
        <w:rPr>
          <w:rFonts w:asciiTheme="majorHAnsi" w:hAnsiTheme="majorHAnsi" w:cstheme="majorHAnsi"/>
          <w:sz w:val="20"/>
          <w:szCs w:val="20"/>
        </w:rPr>
      </w:pPr>
    </w:p>
    <w:p w14:paraId="5DB53F44" w14:textId="02E1EA61" w:rsidR="009C2FF6" w:rsidRDefault="009C2FF6" w:rsidP="00087294">
      <w:pPr>
        <w:ind w:right="102"/>
        <w:jc w:val="both"/>
        <w:rPr>
          <w:rFonts w:asciiTheme="majorHAnsi" w:hAnsiTheme="majorHAnsi" w:cstheme="majorHAnsi"/>
          <w:sz w:val="20"/>
          <w:szCs w:val="20"/>
        </w:rPr>
      </w:pPr>
      <w:r w:rsidRPr="009C2FF6">
        <w:rPr>
          <w:rFonts w:asciiTheme="majorHAnsi" w:hAnsiTheme="majorHAnsi" w:cstheme="majorHAnsi"/>
          <w:noProof/>
          <w:sz w:val="20"/>
          <w:szCs w:val="20"/>
          <w:lang w:val="en-US"/>
        </w:rPr>
        <w:drawing>
          <wp:inline distT="0" distB="0" distL="0" distR="0" wp14:anchorId="5FF7D342" wp14:editId="4A3B3391">
            <wp:extent cx="3036591" cy="1805388"/>
            <wp:effectExtent l="0" t="0" r="0" b="444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lum bright="-20000" contrast="40000"/>
                      <a:extLst>
                        <a:ext uri="{28A0092B-C50C-407E-A947-70E740481C1C}">
                          <a14:useLocalDpi xmlns:a14="http://schemas.microsoft.com/office/drawing/2010/main" val="0"/>
                        </a:ext>
                      </a:extLst>
                    </a:blip>
                    <a:srcRect/>
                    <a:stretch>
                      <a:fillRect/>
                    </a:stretch>
                  </pic:blipFill>
                  <pic:spPr bwMode="auto">
                    <a:xfrm>
                      <a:off x="0" y="0"/>
                      <a:ext cx="3080482" cy="1831483"/>
                    </a:xfrm>
                    <a:prstGeom prst="rect">
                      <a:avLst/>
                    </a:prstGeom>
                    <a:noFill/>
                    <a:ln>
                      <a:noFill/>
                    </a:ln>
                  </pic:spPr>
                </pic:pic>
              </a:graphicData>
            </a:graphic>
          </wp:inline>
        </w:drawing>
      </w:r>
    </w:p>
    <w:p w14:paraId="0AE06994" w14:textId="784055D1" w:rsidR="009C2FF6" w:rsidRDefault="009C2FF6" w:rsidP="001F6B70">
      <w:pPr>
        <w:pStyle w:val="FootnoteText"/>
        <w:ind w:hanging="14"/>
        <w:rPr>
          <w:rFonts w:asciiTheme="majorHAnsi" w:eastAsiaTheme="minorEastAsia" w:hAnsiTheme="majorHAnsi" w:cstheme="majorHAnsi"/>
          <w:color w:val="auto"/>
          <w:spacing w:val="0"/>
          <w:w w:val="100"/>
          <w:szCs w:val="20"/>
          <w:lang w:val="tr-TR"/>
        </w:rPr>
      </w:pPr>
      <w:r w:rsidRPr="00607D7E">
        <w:rPr>
          <w:rFonts w:asciiTheme="majorHAnsi" w:eastAsiaTheme="minorEastAsia" w:hAnsiTheme="majorHAnsi" w:cstheme="majorHAnsi"/>
          <w:b/>
          <w:bCs/>
          <w:color w:val="auto"/>
          <w:spacing w:val="0"/>
          <w:w w:val="100"/>
          <w:szCs w:val="20"/>
          <w:lang w:val="tr-TR"/>
        </w:rPr>
        <w:t xml:space="preserve">Figure </w:t>
      </w:r>
      <w:r w:rsidR="00106022">
        <w:rPr>
          <w:rFonts w:asciiTheme="majorHAnsi" w:eastAsiaTheme="minorEastAsia" w:hAnsiTheme="majorHAnsi" w:cstheme="majorHAnsi"/>
          <w:b/>
          <w:bCs/>
          <w:color w:val="auto"/>
          <w:spacing w:val="0"/>
          <w:w w:val="100"/>
          <w:szCs w:val="20"/>
          <w:lang w:val="tr-TR"/>
        </w:rPr>
        <w:t>3</w:t>
      </w:r>
      <w:r w:rsidRPr="00607D7E">
        <w:rPr>
          <w:rFonts w:asciiTheme="majorHAnsi" w:eastAsiaTheme="minorEastAsia" w:hAnsiTheme="majorHAnsi" w:cstheme="majorHAnsi"/>
          <w:b/>
          <w:bCs/>
          <w:color w:val="auto"/>
          <w:spacing w:val="0"/>
          <w:w w:val="100"/>
          <w:szCs w:val="20"/>
          <w:lang w:val="tr-TR"/>
        </w:rPr>
        <w:t>:</w:t>
      </w:r>
      <w:r w:rsidRPr="00607D7E">
        <w:rPr>
          <w:rFonts w:asciiTheme="majorHAnsi" w:eastAsiaTheme="minorEastAsia" w:hAnsiTheme="majorHAnsi" w:cstheme="majorHAnsi"/>
          <w:color w:val="auto"/>
          <w:spacing w:val="0"/>
          <w:w w:val="100"/>
          <w:szCs w:val="20"/>
          <w:lang w:val="tr-TR"/>
        </w:rPr>
        <w:t xml:space="preserve"> </w:t>
      </w:r>
      <w:proofErr w:type="spellStart"/>
      <w:r w:rsidR="001F6B70">
        <w:rPr>
          <w:rFonts w:asciiTheme="majorHAnsi" w:hAnsiTheme="majorHAnsi" w:cstheme="majorHAnsi"/>
          <w:szCs w:val="20"/>
        </w:rPr>
        <w:t>Bosian</w:t>
      </w:r>
      <w:proofErr w:type="spellEnd"/>
      <w:r w:rsidR="001F6B70">
        <w:rPr>
          <w:rFonts w:asciiTheme="majorHAnsi" w:hAnsiTheme="majorHAnsi" w:cstheme="majorHAnsi"/>
          <w:szCs w:val="20"/>
        </w:rPr>
        <w:t xml:space="preserve"> quarter in the town of Caesarea</w:t>
      </w:r>
      <w:r w:rsidRPr="00607D7E">
        <w:rPr>
          <w:rFonts w:asciiTheme="majorHAnsi" w:eastAsiaTheme="minorEastAsia" w:hAnsiTheme="majorHAnsi" w:cstheme="majorHAnsi"/>
          <w:color w:val="auto"/>
          <w:spacing w:val="0"/>
          <w:w w:val="100"/>
          <w:szCs w:val="20"/>
          <w:lang w:val="tr-TR"/>
        </w:rPr>
        <w:t xml:space="preserve"> in </w:t>
      </w:r>
      <w:r w:rsidR="001F6B70">
        <w:rPr>
          <w:rFonts w:asciiTheme="majorHAnsi" w:eastAsiaTheme="minorEastAsia" w:hAnsiTheme="majorHAnsi" w:cstheme="majorHAnsi"/>
          <w:color w:val="auto"/>
          <w:spacing w:val="0"/>
          <w:w w:val="100"/>
          <w:szCs w:val="20"/>
          <w:lang w:val="tr-TR"/>
        </w:rPr>
        <w:t>1888.</w:t>
      </w:r>
    </w:p>
    <w:p w14:paraId="5E3EFF6C" w14:textId="56D4E71F" w:rsidR="009C2FF6" w:rsidRPr="00576549" w:rsidRDefault="009C2FF6" w:rsidP="00087294">
      <w:pPr>
        <w:pStyle w:val="FootnoteText"/>
        <w:ind w:hanging="14"/>
        <w:rPr>
          <w:rFonts w:asciiTheme="majorHAnsi" w:eastAsiaTheme="minorEastAsia" w:hAnsiTheme="majorHAnsi" w:cstheme="majorHAnsi"/>
          <w:color w:val="auto"/>
          <w:spacing w:val="0"/>
          <w:w w:val="100"/>
          <w:szCs w:val="20"/>
          <w:lang w:val="tr-TR"/>
        </w:rPr>
      </w:pPr>
      <w:r w:rsidRPr="00576549">
        <w:rPr>
          <w:rFonts w:asciiTheme="majorHAnsi" w:eastAsiaTheme="minorEastAsia" w:hAnsiTheme="majorHAnsi" w:cstheme="majorHAnsi"/>
          <w:b/>
          <w:bCs/>
          <w:color w:val="auto"/>
          <w:spacing w:val="0"/>
          <w:w w:val="100"/>
          <w:szCs w:val="20"/>
          <w:lang w:val="tr-TR"/>
        </w:rPr>
        <w:t>Source:</w:t>
      </w:r>
      <w:r w:rsidRPr="00576549">
        <w:rPr>
          <w:rFonts w:asciiTheme="majorHAnsi" w:eastAsiaTheme="minorEastAsia" w:hAnsiTheme="majorHAnsi" w:cstheme="majorHAnsi"/>
          <w:color w:val="auto"/>
          <w:spacing w:val="0"/>
          <w:w w:val="100"/>
          <w:szCs w:val="20"/>
          <w:lang w:val="tr-TR"/>
        </w:rPr>
        <w:t xml:space="preserve"> </w:t>
      </w:r>
      <w:r w:rsidR="000228AD" w:rsidRPr="009C2FF6">
        <w:rPr>
          <w:rFonts w:asciiTheme="majorHAnsi" w:hAnsiTheme="majorHAnsi" w:cstheme="majorHAnsi"/>
          <w:szCs w:val="20"/>
          <w:lang w:val="tr-TR"/>
        </w:rPr>
        <w:t>Bıger</w:t>
      </w:r>
      <w:r w:rsidRPr="00576549">
        <w:rPr>
          <w:rFonts w:asciiTheme="majorHAnsi" w:eastAsiaTheme="minorEastAsia" w:hAnsiTheme="majorHAnsi" w:cstheme="majorHAnsi"/>
          <w:color w:val="auto"/>
          <w:spacing w:val="0"/>
          <w:w w:val="100"/>
          <w:szCs w:val="20"/>
          <w:lang w:val="tr-TR"/>
        </w:rPr>
        <w:t xml:space="preserve">, </w:t>
      </w:r>
      <w:r>
        <w:rPr>
          <w:rFonts w:asciiTheme="majorHAnsi" w:eastAsiaTheme="minorEastAsia" w:hAnsiTheme="majorHAnsi" w:cstheme="majorHAnsi"/>
          <w:color w:val="auto"/>
          <w:spacing w:val="0"/>
          <w:w w:val="100"/>
          <w:szCs w:val="20"/>
          <w:lang w:val="tr-TR"/>
        </w:rPr>
        <w:t>2013.</w:t>
      </w:r>
    </w:p>
    <w:p w14:paraId="68449990" w14:textId="77777777" w:rsidR="00087294" w:rsidRPr="0005201B" w:rsidRDefault="00087294" w:rsidP="00087294">
      <w:pPr>
        <w:ind w:right="102"/>
        <w:jc w:val="both"/>
        <w:rPr>
          <w:rFonts w:asciiTheme="majorHAnsi" w:hAnsiTheme="majorHAnsi" w:cstheme="majorHAnsi"/>
          <w:sz w:val="20"/>
          <w:szCs w:val="20"/>
        </w:rPr>
      </w:pPr>
    </w:p>
    <w:p w14:paraId="738BBBC8" w14:textId="77777777" w:rsidR="0005201B" w:rsidRPr="0005201B" w:rsidRDefault="0005201B" w:rsidP="00087294">
      <w:pPr>
        <w:ind w:right="102"/>
        <w:jc w:val="both"/>
        <w:rPr>
          <w:rFonts w:asciiTheme="majorHAnsi" w:hAnsiTheme="majorHAnsi" w:cstheme="majorHAnsi"/>
          <w:b/>
          <w:bCs/>
          <w:iCs/>
          <w:sz w:val="20"/>
          <w:szCs w:val="20"/>
        </w:rPr>
      </w:pPr>
      <w:r w:rsidRPr="0005201B">
        <w:rPr>
          <w:rFonts w:asciiTheme="majorHAnsi" w:hAnsiTheme="majorHAnsi" w:cstheme="majorHAnsi"/>
          <w:b/>
          <w:bCs/>
          <w:iCs/>
          <w:sz w:val="20"/>
          <w:szCs w:val="20"/>
        </w:rPr>
        <w:lastRenderedPageBreak/>
        <w:t>Ottoman judicial system</w:t>
      </w:r>
    </w:p>
    <w:p w14:paraId="23E1C9FD" w14:textId="77777777" w:rsidR="00F4537C" w:rsidRPr="00F4537C" w:rsidRDefault="0005201B" w:rsidP="00F4537C">
      <w:pPr>
        <w:ind w:right="102"/>
        <w:jc w:val="both"/>
        <w:rPr>
          <w:rFonts w:asciiTheme="majorHAnsi" w:hAnsiTheme="majorHAnsi" w:cstheme="majorHAnsi"/>
          <w:sz w:val="20"/>
          <w:szCs w:val="20"/>
        </w:rPr>
      </w:pPr>
      <w:r w:rsidRPr="0005201B">
        <w:rPr>
          <w:rFonts w:asciiTheme="majorHAnsi" w:hAnsiTheme="majorHAnsi" w:cstheme="majorHAnsi"/>
          <w:sz w:val="20"/>
          <w:szCs w:val="20"/>
        </w:rPr>
        <w:t>The</w:t>
      </w:r>
      <w:r w:rsidR="000228AD">
        <w:rPr>
          <w:rFonts w:asciiTheme="majorHAnsi" w:hAnsiTheme="majorHAnsi" w:cstheme="majorHAnsi"/>
          <w:sz w:val="20"/>
          <w:szCs w:val="20"/>
        </w:rPr>
        <w:t xml:space="preserve"> </w:t>
      </w:r>
      <w:r w:rsidRPr="0005201B">
        <w:rPr>
          <w:rFonts w:asciiTheme="majorHAnsi" w:hAnsiTheme="majorHAnsi" w:cstheme="majorHAnsi"/>
          <w:sz w:val="20"/>
          <w:szCs w:val="20"/>
        </w:rPr>
        <w:t xml:space="preserve">Ottoman Empire was an Islamic Caliphate where the whole system of the Empire was based on the </w:t>
      </w:r>
      <w:r w:rsidRPr="0005201B">
        <w:rPr>
          <w:rFonts w:asciiTheme="majorHAnsi" w:hAnsiTheme="majorHAnsi" w:cstheme="majorHAnsi"/>
          <w:i/>
          <w:sz w:val="20"/>
          <w:szCs w:val="20"/>
        </w:rPr>
        <w:t>Şeriat</w:t>
      </w:r>
      <w:r w:rsidR="00112B8D">
        <w:rPr>
          <w:rFonts w:asciiTheme="majorHAnsi" w:hAnsiTheme="majorHAnsi" w:cstheme="majorHAnsi"/>
          <w:i/>
          <w:sz w:val="20"/>
          <w:szCs w:val="20"/>
        </w:rPr>
        <w:t xml:space="preserve"> (</w:t>
      </w:r>
      <w:r w:rsidR="00112B8D" w:rsidRPr="003969F0">
        <w:rPr>
          <w:rFonts w:asciiTheme="majorHAnsi" w:hAnsiTheme="majorHAnsi" w:cstheme="majorHAnsi"/>
          <w:sz w:val="20"/>
          <w:szCs w:val="20"/>
        </w:rPr>
        <w:t>Eisenman</w:t>
      </w:r>
      <w:r w:rsidR="00112B8D">
        <w:rPr>
          <w:rFonts w:asciiTheme="majorHAnsi" w:hAnsiTheme="majorHAnsi" w:cstheme="majorHAnsi"/>
          <w:sz w:val="20"/>
          <w:szCs w:val="20"/>
        </w:rPr>
        <w:t>, 1979)</w:t>
      </w:r>
      <w:r w:rsidRPr="0005201B">
        <w:rPr>
          <w:rFonts w:asciiTheme="majorHAnsi" w:hAnsiTheme="majorHAnsi" w:cstheme="majorHAnsi"/>
          <w:sz w:val="20"/>
          <w:szCs w:val="20"/>
        </w:rPr>
        <w:t>.</w:t>
      </w:r>
      <w:r w:rsidR="00112B8D">
        <w:rPr>
          <w:rFonts w:asciiTheme="majorHAnsi" w:hAnsiTheme="majorHAnsi" w:cstheme="majorHAnsi"/>
          <w:sz w:val="20"/>
          <w:szCs w:val="20"/>
          <w:vertAlign w:val="superscript"/>
        </w:rPr>
        <w:t xml:space="preserve"> </w:t>
      </w:r>
      <w:bookmarkStart w:id="0" w:name="_Hlk88709776"/>
      <w:r w:rsidR="00F4537C" w:rsidRPr="00F4537C">
        <w:rPr>
          <w:rFonts w:asciiTheme="majorHAnsi" w:hAnsiTheme="majorHAnsi" w:cstheme="majorHAnsi"/>
          <w:sz w:val="20"/>
          <w:szCs w:val="20"/>
        </w:rPr>
        <w:t xml:space="preserve">During the second half of the 19th century and with the growth of the reform movement, the </w:t>
      </w:r>
      <w:r w:rsidR="00F4537C" w:rsidRPr="00F4537C">
        <w:rPr>
          <w:rFonts w:asciiTheme="majorHAnsi" w:hAnsiTheme="majorHAnsi" w:cstheme="majorHAnsi"/>
          <w:iCs/>
          <w:sz w:val="20"/>
          <w:szCs w:val="20"/>
        </w:rPr>
        <w:t>kanun</w:t>
      </w:r>
      <w:r w:rsidR="00F4537C" w:rsidRPr="00F4537C">
        <w:rPr>
          <w:rFonts w:asciiTheme="majorHAnsi" w:hAnsiTheme="majorHAnsi" w:cstheme="majorHAnsi"/>
          <w:sz w:val="20"/>
          <w:szCs w:val="20"/>
        </w:rPr>
        <w:t xml:space="preserve"> increasingly began to play a more important role. </w:t>
      </w:r>
      <w:r w:rsidR="00F4537C" w:rsidRPr="00F4537C">
        <w:rPr>
          <w:rFonts w:asciiTheme="majorHAnsi" w:hAnsiTheme="majorHAnsi" w:cstheme="majorHAnsi"/>
          <w:i/>
          <w:sz w:val="20"/>
          <w:szCs w:val="20"/>
        </w:rPr>
        <w:t>Nizamiye mahkemeleri [Mahakim nithamiyah]</w:t>
      </w:r>
      <w:r w:rsidR="00F4537C" w:rsidRPr="00F4537C">
        <w:rPr>
          <w:rFonts w:asciiTheme="majorHAnsi" w:hAnsiTheme="majorHAnsi" w:cstheme="majorHAnsi"/>
          <w:sz w:val="20"/>
          <w:szCs w:val="20"/>
        </w:rPr>
        <w:t xml:space="preserve"> (civil courts) were introduced in 1864 and the </w:t>
      </w:r>
      <w:r w:rsidR="00F4537C" w:rsidRPr="00F4537C">
        <w:rPr>
          <w:rFonts w:asciiTheme="majorHAnsi" w:hAnsiTheme="majorHAnsi" w:cstheme="majorHAnsi"/>
          <w:i/>
          <w:sz w:val="20"/>
          <w:szCs w:val="20"/>
        </w:rPr>
        <w:t>Mecelle-i Ahkâm-ı Adliyye [Majallato al-ahkam al-adliyah]</w:t>
      </w:r>
      <w:r w:rsidR="00F4537C" w:rsidRPr="00F4537C">
        <w:rPr>
          <w:rFonts w:asciiTheme="majorHAnsi" w:hAnsiTheme="majorHAnsi" w:cstheme="majorHAnsi"/>
          <w:sz w:val="20"/>
          <w:szCs w:val="20"/>
        </w:rPr>
        <w:t xml:space="preserve"> (the Ottoman Civil Code) appeared afterwards (Findley, 1986).</w:t>
      </w:r>
    </w:p>
    <w:bookmarkEnd w:id="0"/>
    <w:p w14:paraId="3DED5301" w14:textId="280EA1CA" w:rsidR="00087294" w:rsidRPr="0005201B" w:rsidRDefault="00087294" w:rsidP="00F4537C">
      <w:pPr>
        <w:ind w:right="102"/>
        <w:jc w:val="both"/>
        <w:rPr>
          <w:rFonts w:asciiTheme="majorHAnsi" w:hAnsiTheme="majorHAnsi" w:cstheme="majorHAnsi"/>
          <w:sz w:val="20"/>
          <w:szCs w:val="20"/>
        </w:rPr>
      </w:pPr>
    </w:p>
    <w:p w14:paraId="4036A1EA" w14:textId="77777777" w:rsidR="0005201B" w:rsidRPr="0005201B" w:rsidRDefault="0005201B" w:rsidP="00087294">
      <w:pPr>
        <w:rPr>
          <w:rFonts w:asciiTheme="majorHAnsi" w:hAnsiTheme="majorHAnsi" w:cstheme="majorHAnsi"/>
          <w:b/>
          <w:bCs/>
          <w:sz w:val="20"/>
          <w:szCs w:val="20"/>
        </w:rPr>
      </w:pPr>
      <w:r w:rsidRPr="0005201B">
        <w:rPr>
          <w:rFonts w:asciiTheme="majorHAnsi" w:hAnsiTheme="majorHAnsi" w:cstheme="majorHAnsi"/>
          <w:b/>
          <w:bCs/>
          <w:sz w:val="20"/>
          <w:szCs w:val="20"/>
        </w:rPr>
        <w:t>Mecelle-i Ahkâm-ı Adliyye [Majallato al-ahkam al-adliyah] (Ottoman Civil Code- Mecelle hereinafter)</w:t>
      </w:r>
    </w:p>
    <w:p w14:paraId="77605E02" w14:textId="1BAF4CF3" w:rsidR="0005201B" w:rsidRDefault="0005201B" w:rsidP="00087294">
      <w:pPr>
        <w:ind w:right="102"/>
        <w:jc w:val="both"/>
        <w:rPr>
          <w:rFonts w:asciiTheme="majorHAnsi" w:hAnsiTheme="majorHAnsi" w:cstheme="majorHAnsi"/>
          <w:sz w:val="20"/>
          <w:szCs w:val="20"/>
        </w:rPr>
      </w:pPr>
      <w:bookmarkStart w:id="1" w:name="_Hlk88709855"/>
      <w:r w:rsidRPr="0005201B">
        <w:rPr>
          <w:rFonts w:asciiTheme="majorHAnsi" w:hAnsiTheme="majorHAnsi" w:cstheme="majorHAnsi"/>
          <w:sz w:val="20"/>
          <w:szCs w:val="20"/>
        </w:rPr>
        <w:t xml:space="preserve">Although the Islamic legislations concerning the built environment are numerous, they are still generally distributed within the books of </w:t>
      </w:r>
      <w:r w:rsidRPr="0005201B">
        <w:rPr>
          <w:rFonts w:asciiTheme="majorHAnsi" w:hAnsiTheme="majorHAnsi" w:cstheme="majorHAnsi"/>
          <w:i/>
          <w:sz w:val="20"/>
          <w:szCs w:val="20"/>
        </w:rPr>
        <w:t>Şeriat</w:t>
      </w:r>
      <w:r w:rsidRPr="0005201B">
        <w:rPr>
          <w:rFonts w:asciiTheme="majorHAnsi" w:hAnsiTheme="majorHAnsi" w:cstheme="majorHAnsi"/>
          <w:sz w:val="20"/>
          <w:szCs w:val="20"/>
        </w:rPr>
        <w:t>. A good account of this legislation is provided by Hakim</w:t>
      </w:r>
      <w:r w:rsidR="00112B8D">
        <w:rPr>
          <w:rFonts w:asciiTheme="majorHAnsi" w:hAnsiTheme="majorHAnsi" w:cstheme="majorHAnsi"/>
          <w:sz w:val="20"/>
          <w:szCs w:val="20"/>
        </w:rPr>
        <w:t xml:space="preserve"> (1986)</w:t>
      </w:r>
      <w:r w:rsidR="00112B8D" w:rsidRPr="0005201B">
        <w:rPr>
          <w:rStyle w:val="FootnoteReference"/>
          <w:rFonts w:asciiTheme="majorHAnsi" w:hAnsiTheme="majorHAnsi" w:cstheme="majorHAnsi"/>
          <w:sz w:val="20"/>
          <w:szCs w:val="20"/>
        </w:rPr>
        <w:t xml:space="preserve"> </w:t>
      </w:r>
      <w:r w:rsidRPr="0005201B">
        <w:rPr>
          <w:rFonts w:asciiTheme="majorHAnsi" w:hAnsiTheme="majorHAnsi" w:cstheme="majorHAnsi"/>
          <w:sz w:val="20"/>
          <w:szCs w:val="20"/>
        </w:rPr>
        <w:t>and Salagoor</w:t>
      </w:r>
      <w:r w:rsidR="00112B8D">
        <w:rPr>
          <w:rFonts w:asciiTheme="majorHAnsi" w:hAnsiTheme="majorHAnsi" w:cstheme="majorHAnsi"/>
          <w:sz w:val="20"/>
          <w:szCs w:val="20"/>
        </w:rPr>
        <w:t xml:space="preserve"> (1990)</w:t>
      </w:r>
      <w:r w:rsidRPr="0005201B">
        <w:rPr>
          <w:rFonts w:asciiTheme="majorHAnsi" w:hAnsiTheme="majorHAnsi" w:cstheme="majorHAnsi"/>
          <w:sz w:val="20"/>
          <w:szCs w:val="20"/>
        </w:rPr>
        <w:t>.</w:t>
      </w:r>
      <w:r w:rsidR="00112B8D" w:rsidRPr="0005201B">
        <w:rPr>
          <w:rFonts w:asciiTheme="majorHAnsi" w:hAnsiTheme="majorHAnsi" w:cstheme="majorHAnsi"/>
          <w:sz w:val="20"/>
          <w:szCs w:val="20"/>
        </w:rPr>
        <w:t xml:space="preserve"> </w:t>
      </w:r>
      <w:r w:rsidRPr="0005201B">
        <w:rPr>
          <w:rFonts w:asciiTheme="majorHAnsi" w:hAnsiTheme="majorHAnsi" w:cstheme="majorHAnsi"/>
          <w:sz w:val="20"/>
          <w:szCs w:val="20"/>
        </w:rPr>
        <w:t xml:space="preserve">The first attempt to codify the </w:t>
      </w:r>
      <w:r w:rsidRPr="0005201B">
        <w:rPr>
          <w:rFonts w:asciiTheme="majorHAnsi" w:hAnsiTheme="majorHAnsi" w:cstheme="majorHAnsi"/>
          <w:i/>
          <w:sz w:val="20"/>
          <w:szCs w:val="20"/>
        </w:rPr>
        <w:t>Şeriat</w:t>
      </w:r>
      <w:r w:rsidRPr="0005201B">
        <w:rPr>
          <w:rFonts w:asciiTheme="majorHAnsi" w:hAnsiTheme="majorHAnsi" w:cstheme="majorHAnsi"/>
          <w:sz w:val="20"/>
          <w:szCs w:val="20"/>
        </w:rPr>
        <w:t xml:space="preserve"> was </w:t>
      </w:r>
      <w:r w:rsidRPr="0005201B">
        <w:rPr>
          <w:rFonts w:asciiTheme="majorHAnsi" w:hAnsiTheme="majorHAnsi" w:cstheme="majorHAnsi"/>
          <w:iCs/>
          <w:sz w:val="20"/>
          <w:szCs w:val="20"/>
        </w:rPr>
        <w:t xml:space="preserve">the </w:t>
      </w:r>
      <w:r w:rsidRPr="0005201B">
        <w:rPr>
          <w:rFonts w:asciiTheme="majorHAnsi" w:hAnsiTheme="majorHAnsi" w:cstheme="majorHAnsi"/>
          <w:i/>
          <w:sz w:val="20"/>
          <w:szCs w:val="20"/>
        </w:rPr>
        <w:t>Mecelle</w:t>
      </w:r>
      <w:r w:rsidRPr="0005201B">
        <w:rPr>
          <w:rFonts w:asciiTheme="majorHAnsi" w:hAnsiTheme="majorHAnsi" w:cstheme="majorHAnsi"/>
          <w:sz w:val="20"/>
          <w:szCs w:val="20"/>
        </w:rPr>
        <w:t xml:space="preserve"> which appeared in 1869 as a response to the establishment of civil courts. It was intended to be a reference for the judges of these courts who had less knowledge of the Islamic </w:t>
      </w:r>
      <w:r w:rsidRPr="0005201B">
        <w:rPr>
          <w:rFonts w:asciiTheme="majorHAnsi" w:hAnsiTheme="majorHAnsi" w:cstheme="majorHAnsi"/>
          <w:i/>
          <w:sz w:val="20"/>
          <w:szCs w:val="20"/>
        </w:rPr>
        <w:t>Şeriat</w:t>
      </w:r>
      <w:r w:rsidRPr="0005201B">
        <w:rPr>
          <w:rFonts w:asciiTheme="majorHAnsi" w:hAnsiTheme="majorHAnsi" w:cstheme="majorHAnsi"/>
          <w:sz w:val="20"/>
          <w:szCs w:val="20"/>
        </w:rPr>
        <w:t xml:space="preserve"> and Arabic language. The </w:t>
      </w:r>
      <w:r w:rsidRPr="0005201B">
        <w:rPr>
          <w:rFonts w:asciiTheme="majorHAnsi" w:hAnsiTheme="majorHAnsi" w:cstheme="majorHAnsi"/>
          <w:i/>
          <w:sz w:val="20"/>
          <w:szCs w:val="20"/>
        </w:rPr>
        <w:t>Mecelle</w:t>
      </w:r>
      <w:r w:rsidRPr="0005201B">
        <w:rPr>
          <w:rFonts w:asciiTheme="majorHAnsi" w:hAnsiTheme="majorHAnsi" w:cstheme="majorHAnsi"/>
          <w:sz w:val="20"/>
          <w:szCs w:val="20"/>
        </w:rPr>
        <w:t xml:space="preserve"> is considered “a legislative milestone” which was the first to undertake the codifying of pure Islamic law</w:t>
      </w:r>
      <w:r w:rsidR="00112B8D">
        <w:rPr>
          <w:rFonts w:asciiTheme="majorHAnsi" w:hAnsiTheme="majorHAnsi" w:cstheme="majorHAnsi"/>
          <w:sz w:val="20"/>
          <w:szCs w:val="20"/>
        </w:rPr>
        <w:t xml:space="preserve"> (</w:t>
      </w:r>
      <w:r w:rsidR="00112B8D" w:rsidRPr="003969F0">
        <w:rPr>
          <w:rFonts w:asciiTheme="majorHAnsi" w:hAnsiTheme="majorHAnsi" w:cstheme="majorHAnsi"/>
          <w:sz w:val="20"/>
          <w:szCs w:val="20"/>
        </w:rPr>
        <w:t>Eisenman</w:t>
      </w:r>
      <w:r w:rsidR="00112B8D">
        <w:rPr>
          <w:rFonts w:asciiTheme="majorHAnsi" w:hAnsiTheme="majorHAnsi" w:cstheme="majorHAnsi"/>
          <w:sz w:val="20"/>
          <w:szCs w:val="20"/>
        </w:rPr>
        <w:t>, 1986)</w:t>
      </w:r>
      <w:r w:rsidRPr="0005201B">
        <w:rPr>
          <w:rFonts w:asciiTheme="majorHAnsi" w:hAnsiTheme="majorHAnsi" w:cstheme="majorHAnsi"/>
          <w:sz w:val="20"/>
          <w:szCs w:val="20"/>
        </w:rPr>
        <w:t>.</w:t>
      </w:r>
    </w:p>
    <w:p w14:paraId="2F27C046" w14:textId="77777777" w:rsidR="00F4537C" w:rsidRPr="0005201B" w:rsidRDefault="00F4537C" w:rsidP="00087294">
      <w:pPr>
        <w:ind w:right="102"/>
        <w:jc w:val="both"/>
        <w:rPr>
          <w:rFonts w:asciiTheme="majorHAnsi" w:hAnsiTheme="majorHAnsi" w:cstheme="majorHAnsi"/>
          <w:sz w:val="20"/>
          <w:szCs w:val="20"/>
        </w:rPr>
      </w:pPr>
    </w:p>
    <w:bookmarkEnd w:id="1"/>
    <w:p w14:paraId="4703764D" w14:textId="77777777" w:rsidR="0005201B" w:rsidRPr="0005201B" w:rsidRDefault="0005201B" w:rsidP="00087294">
      <w:pPr>
        <w:rPr>
          <w:rFonts w:asciiTheme="majorHAnsi" w:hAnsiTheme="majorHAnsi" w:cstheme="majorHAnsi"/>
          <w:b/>
          <w:bCs/>
          <w:sz w:val="20"/>
          <w:szCs w:val="20"/>
        </w:rPr>
      </w:pPr>
      <w:r w:rsidRPr="0005201B">
        <w:rPr>
          <w:rFonts w:asciiTheme="majorHAnsi" w:hAnsiTheme="majorHAnsi" w:cstheme="majorHAnsi"/>
          <w:b/>
          <w:bCs/>
          <w:sz w:val="20"/>
          <w:szCs w:val="20"/>
        </w:rPr>
        <w:t xml:space="preserve">The </w:t>
      </w:r>
      <w:r w:rsidRPr="0005201B">
        <w:rPr>
          <w:rFonts w:asciiTheme="majorHAnsi" w:hAnsiTheme="majorHAnsi" w:cstheme="majorHAnsi"/>
          <w:b/>
          <w:bCs/>
          <w:i/>
          <w:iCs/>
          <w:sz w:val="20"/>
          <w:szCs w:val="20"/>
        </w:rPr>
        <w:t>Mecelle</w:t>
      </w:r>
      <w:r w:rsidRPr="0005201B">
        <w:rPr>
          <w:rFonts w:asciiTheme="majorHAnsi" w:hAnsiTheme="majorHAnsi" w:cstheme="majorHAnsi"/>
          <w:b/>
          <w:bCs/>
          <w:sz w:val="20"/>
          <w:szCs w:val="20"/>
        </w:rPr>
        <w:t xml:space="preserve"> as an instrument for control and development of Palestinian urban structure:</w:t>
      </w:r>
    </w:p>
    <w:p w14:paraId="6ADE4050" w14:textId="7E437662" w:rsidR="0005201B" w:rsidRPr="0005201B" w:rsidRDefault="0005201B" w:rsidP="00087294">
      <w:pPr>
        <w:ind w:right="102"/>
        <w:jc w:val="both"/>
        <w:rPr>
          <w:rFonts w:asciiTheme="majorHAnsi" w:hAnsiTheme="majorHAnsi" w:cstheme="majorHAnsi"/>
          <w:iCs/>
          <w:sz w:val="20"/>
          <w:szCs w:val="20"/>
        </w:rPr>
      </w:pPr>
      <w:bookmarkStart w:id="2" w:name="_Hlk88709914"/>
      <w:r w:rsidRPr="0005201B">
        <w:rPr>
          <w:rFonts w:asciiTheme="majorHAnsi" w:hAnsiTheme="majorHAnsi" w:cstheme="majorHAnsi"/>
          <w:sz w:val="20"/>
          <w:szCs w:val="20"/>
        </w:rPr>
        <w:t xml:space="preserve">The main book of the </w:t>
      </w:r>
      <w:r w:rsidRPr="0005201B">
        <w:rPr>
          <w:rFonts w:asciiTheme="majorHAnsi" w:hAnsiTheme="majorHAnsi" w:cstheme="majorHAnsi"/>
          <w:i/>
          <w:sz w:val="20"/>
          <w:szCs w:val="20"/>
        </w:rPr>
        <w:t>Mecelle</w:t>
      </w:r>
      <w:r w:rsidRPr="0005201B">
        <w:rPr>
          <w:rFonts w:asciiTheme="majorHAnsi" w:hAnsiTheme="majorHAnsi" w:cstheme="majorHAnsi"/>
          <w:sz w:val="20"/>
          <w:szCs w:val="20"/>
        </w:rPr>
        <w:t xml:space="preserve"> relating to the built environment is the book of </w:t>
      </w:r>
      <w:r w:rsidRPr="0005201B">
        <w:rPr>
          <w:rFonts w:asciiTheme="majorHAnsi" w:hAnsiTheme="majorHAnsi" w:cstheme="majorHAnsi"/>
          <w:i/>
          <w:sz w:val="20"/>
          <w:szCs w:val="20"/>
        </w:rPr>
        <w:t>Şirket Ortaklık Kitabı [Kitabo al-sherikat]</w:t>
      </w:r>
      <w:r w:rsidRPr="0005201B">
        <w:rPr>
          <w:rFonts w:asciiTheme="majorHAnsi" w:hAnsiTheme="majorHAnsi" w:cstheme="majorHAnsi"/>
          <w:iCs/>
          <w:sz w:val="20"/>
          <w:szCs w:val="20"/>
        </w:rPr>
        <w:t xml:space="preserve"> </w:t>
      </w:r>
      <w:r w:rsidRPr="0005201B">
        <w:rPr>
          <w:rFonts w:asciiTheme="majorHAnsi" w:hAnsiTheme="majorHAnsi" w:cstheme="majorHAnsi"/>
          <w:sz w:val="20"/>
          <w:szCs w:val="20"/>
        </w:rPr>
        <w:t>(Company Partnership Book)</w:t>
      </w:r>
      <w:r w:rsidR="00112B8D">
        <w:rPr>
          <w:rFonts w:asciiTheme="majorHAnsi" w:hAnsiTheme="majorHAnsi" w:cstheme="majorHAnsi"/>
          <w:sz w:val="20"/>
          <w:szCs w:val="20"/>
        </w:rPr>
        <w:t xml:space="preserve"> (</w:t>
      </w:r>
      <w:r w:rsidR="00112B8D" w:rsidRPr="003969F0">
        <w:rPr>
          <w:rFonts w:asciiTheme="majorHAnsi" w:hAnsiTheme="majorHAnsi" w:cstheme="majorHAnsi"/>
          <w:sz w:val="20"/>
          <w:szCs w:val="20"/>
        </w:rPr>
        <w:t>Salagoor</w:t>
      </w:r>
      <w:r w:rsidRPr="0005201B">
        <w:rPr>
          <w:rFonts w:asciiTheme="majorHAnsi" w:hAnsiTheme="majorHAnsi" w:cstheme="majorHAnsi"/>
          <w:sz w:val="20"/>
          <w:szCs w:val="20"/>
        </w:rPr>
        <w:t>.</w:t>
      </w:r>
      <w:r w:rsidR="00112B8D">
        <w:rPr>
          <w:rFonts w:asciiTheme="majorHAnsi" w:hAnsiTheme="majorHAnsi" w:cstheme="majorHAnsi"/>
          <w:sz w:val="20"/>
          <w:szCs w:val="20"/>
        </w:rPr>
        <w:t xml:space="preserve">, 1990). </w:t>
      </w:r>
      <w:r w:rsidR="00112B8D" w:rsidRPr="0005201B">
        <w:rPr>
          <w:rFonts w:asciiTheme="majorHAnsi" w:hAnsiTheme="majorHAnsi" w:cstheme="majorHAnsi"/>
          <w:sz w:val="20"/>
          <w:szCs w:val="20"/>
        </w:rPr>
        <w:t xml:space="preserve"> </w:t>
      </w:r>
      <w:r w:rsidRPr="0005201B">
        <w:rPr>
          <w:rFonts w:asciiTheme="majorHAnsi" w:hAnsiTheme="majorHAnsi" w:cstheme="majorHAnsi"/>
          <w:sz w:val="20"/>
          <w:szCs w:val="20"/>
        </w:rPr>
        <w:t xml:space="preserve">The built environment was included within the division of partnerships because the building process was seen as a partnership between people in light, air and land. The main concepts of </w:t>
      </w:r>
      <w:r w:rsidRPr="0005201B">
        <w:rPr>
          <w:rFonts w:asciiTheme="majorHAnsi" w:hAnsiTheme="majorHAnsi" w:cstheme="majorHAnsi"/>
          <w:i/>
          <w:sz w:val="20"/>
          <w:szCs w:val="20"/>
        </w:rPr>
        <w:t>Şeriat</w:t>
      </w:r>
      <w:r w:rsidRPr="0005201B">
        <w:rPr>
          <w:rFonts w:asciiTheme="majorHAnsi" w:hAnsiTheme="majorHAnsi" w:cstheme="majorHAnsi"/>
          <w:sz w:val="20"/>
          <w:szCs w:val="20"/>
        </w:rPr>
        <w:t xml:space="preserve"> relating to the built environment and considered by articles of the </w:t>
      </w:r>
      <w:r w:rsidRPr="0005201B">
        <w:rPr>
          <w:rFonts w:asciiTheme="majorHAnsi" w:hAnsiTheme="majorHAnsi" w:cstheme="majorHAnsi"/>
          <w:i/>
          <w:sz w:val="20"/>
          <w:szCs w:val="20"/>
        </w:rPr>
        <w:t>Mecelle</w:t>
      </w:r>
      <w:r w:rsidRPr="0005201B">
        <w:rPr>
          <w:rFonts w:asciiTheme="majorHAnsi" w:hAnsiTheme="majorHAnsi" w:cstheme="majorHAnsi"/>
          <w:sz w:val="20"/>
          <w:szCs w:val="20"/>
        </w:rPr>
        <w:t xml:space="preserve"> are briefly listed below</w:t>
      </w:r>
      <w:r w:rsidR="00112B8D">
        <w:rPr>
          <w:rFonts w:asciiTheme="majorHAnsi" w:hAnsiTheme="majorHAnsi" w:cstheme="majorHAnsi"/>
          <w:sz w:val="20"/>
          <w:szCs w:val="20"/>
        </w:rPr>
        <w:t xml:space="preserve"> (</w:t>
      </w:r>
      <w:r w:rsidR="00112B8D" w:rsidRPr="003969F0">
        <w:rPr>
          <w:rFonts w:asciiTheme="majorHAnsi" w:hAnsiTheme="majorHAnsi" w:cstheme="majorHAnsi"/>
          <w:sz w:val="20"/>
          <w:szCs w:val="20"/>
        </w:rPr>
        <w:t>Salagoor</w:t>
      </w:r>
      <w:r w:rsidR="00112B8D" w:rsidRPr="0005201B">
        <w:rPr>
          <w:rFonts w:asciiTheme="majorHAnsi" w:hAnsiTheme="majorHAnsi" w:cstheme="majorHAnsi"/>
          <w:sz w:val="20"/>
          <w:szCs w:val="20"/>
        </w:rPr>
        <w:t>.</w:t>
      </w:r>
      <w:r w:rsidR="00112B8D">
        <w:rPr>
          <w:rFonts w:asciiTheme="majorHAnsi" w:hAnsiTheme="majorHAnsi" w:cstheme="majorHAnsi"/>
          <w:sz w:val="20"/>
          <w:szCs w:val="20"/>
        </w:rPr>
        <w:t xml:space="preserve">, 1990). </w:t>
      </w:r>
      <w:r w:rsidR="00112B8D" w:rsidRPr="0005201B">
        <w:rPr>
          <w:rFonts w:asciiTheme="majorHAnsi" w:hAnsiTheme="majorHAnsi" w:cstheme="majorHAnsi"/>
          <w:sz w:val="20"/>
          <w:szCs w:val="20"/>
        </w:rPr>
        <w:t xml:space="preserve"> </w:t>
      </w:r>
    </w:p>
    <w:bookmarkEnd w:id="2"/>
    <w:p w14:paraId="6B561CD2" w14:textId="77777777" w:rsidR="0005201B" w:rsidRPr="0005201B" w:rsidRDefault="0005201B" w:rsidP="00087294">
      <w:pPr>
        <w:ind w:right="102"/>
        <w:jc w:val="both"/>
        <w:rPr>
          <w:rFonts w:asciiTheme="majorHAnsi" w:hAnsiTheme="majorHAnsi" w:cstheme="majorHAnsi"/>
          <w:b/>
          <w:bCs/>
          <w:sz w:val="20"/>
          <w:szCs w:val="20"/>
        </w:rPr>
      </w:pPr>
      <w:r w:rsidRPr="00087294">
        <w:rPr>
          <w:rFonts w:asciiTheme="majorHAnsi" w:hAnsiTheme="majorHAnsi" w:cstheme="majorHAnsi"/>
          <w:b/>
          <w:bCs/>
          <w:i/>
          <w:iCs/>
          <w:sz w:val="20"/>
          <w:szCs w:val="20"/>
        </w:rPr>
        <w:t>The harm</w:t>
      </w:r>
      <w:r w:rsidRPr="00087294">
        <w:rPr>
          <w:rFonts w:asciiTheme="majorHAnsi" w:hAnsiTheme="majorHAnsi" w:cstheme="majorHAnsi"/>
          <w:i/>
          <w:iCs/>
          <w:sz w:val="20"/>
          <w:szCs w:val="20"/>
        </w:rPr>
        <w:t>:</w:t>
      </w:r>
      <w:r w:rsidRPr="0005201B">
        <w:rPr>
          <w:rFonts w:asciiTheme="majorHAnsi" w:hAnsiTheme="majorHAnsi" w:cstheme="majorHAnsi"/>
          <w:b/>
          <w:bCs/>
          <w:sz w:val="20"/>
          <w:szCs w:val="20"/>
        </w:rPr>
        <w:t xml:space="preserve"> </w:t>
      </w:r>
      <w:r w:rsidRPr="0005201B">
        <w:rPr>
          <w:rFonts w:asciiTheme="majorHAnsi" w:hAnsiTheme="majorHAnsi" w:cstheme="majorHAnsi"/>
          <w:sz w:val="20"/>
          <w:szCs w:val="20"/>
        </w:rPr>
        <w:t xml:space="preserve">The concept of not to cause harm nor to reciprocate harm is a fundamental rule of </w:t>
      </w:r>
      <w:r w:rsidRPr="0005201B">
        <w:rPr>
          <w:rFonts w:asciiTheme="majorHAnsi" w:hAnsiTheme="majorHAnsi" w:cstheme="majorHAnsi"/>
          <w:iCs/>
          <w:sz w:val="20"/>
          <w:szCs w:val="20"/>
        </w:rPr>
        <w:t>Şeriat</w:t>
      </w:r>
      <w:r w:rsidRPr="0005201B">
        <w:rPr>
          <w:rFonts w:asciiTheme="majorHAnsi" w:hAnsiTheme="majorHAnsi" w:cstheme="majorHAnsi"/>
          <w:sz w:val="20"/>
          <w:szCs w:val="20"/>
        </w:rPr>
        <w:t xml:space="preserve"> which aims at maintaining the satisfaction and justice within the Moslem community (art. 19).  In the built environment, this rule means that no private or public development should cause harm, either to public or private interests and if any harm results in, it should be removed (art. 20).</w:t>
      </w:r>
    </w:p>
    <w:p w14:paraId="619C8385" w14:textId="77777777" w:rsidR="0005201B" w:rsidRPr="0005201B" w:rsidRDefault="0005201B" w:rsidP="00087294">
      <w:pPr>
        <w:ind w:right="102"/>
        <w:jc w:val="both"/>
        <w:rPr>
          <w:rFonts w:asciiTheme="majorHAnsi" w:hAnsiTheme="majorHAnsi" w:cstheme="majorHAnsi"/>
          <w:b/>
          <w:bCs/>
          <w:sz w:val="20"/>
          <w:szCs w:val="20"/>
        </w:rPr>
      </w:pPr>
      <w:r w:rsidRPr="00087294">
        <w:rPr>
          <w:rFonts w:asciiTheme="majorHAnsi" w:hAnsiTheme="majorHAnsi" w:cstheme="majorHAnsi"/>
          <w:i/>
          <w:iCs/>
          <w:sz w:val="20"/>
          <w:szCs w:val="20"/>
        </w:rPr>
        <w:t>The Old:</w:t>
      </w:r>
      <w:r w:rsidRPr="0005201B">
        <w:rPr>
          <w:rFonts w:asciiTheme="majorHAnsi" w:hAnsiTheme="majorHAnsi" w:cstheme="majorHAnsi"/>
          <w:b/>
          <w:bCs/>
          <w:sz w:val="20"/>
          <w:szCs w:val="20"/>
        </w:rPr>
        <w:t xml:space="preserve"> </w:t>
      </w:r>
      <w:r w:rsidRPr="0005201B">
        <w:rPr>
          <w:rFonts w:asciiTheme="majorHAnsi" w:hAnsiTheme="majorHAnsi" w:cstheme="majorHAnsi"/>
          <w:sz w:val="20"/>
          <w:szCs w:val="20"/>
        </w:rPr>
        <w:t xml:space="preserve">In the built environment, this concept means that existing conditions should be left unchanged unless they cause harm (arts. 6 and 7).  </w:t>
      </w:r>
    </w:p>
    <w:p w14:paraId="4C6E806C" w14:textId="77777777" w:rsidR="0005201B" w:rsidRPr="0005201B" w:rsidRDefault="0005201B" w:rsidP="00087294">
      <w:pPr>
        <w:ind w:right="102"/>
        <w:jc w:val="both"/>
        <w:rPr>
          <w:rFonts w:asciiTheme="majorHAnsi" w:hAnsiTheme="majorHAnsi" w:cstheme="majorHAnsi"/>
          <w:b/>
          <w:bCs/>
          <w:sz w:val="20"/>
          <w:szCs w:val="20"/>
        </w:rPr>
      </w:pPr>
      <w:r w:rsidRPr="00087294">
        <w:rPr>
          <w:rFonts w:asciiTheme="majorHAnsi" w:hAnsiTheme="majorHAnsi" w:cstheme="majorHAnsi"/>
          <w:b/>
          <w:bCs/>
          <w:i/>
          <w:iCs/>
          <w:sz w:val="20"/>
          <w:szCs w:val="20"/>
        </w:rPr>
        <w:t>Ownership:</w:t>
      </w:r>
      <w:r w:rsidRPr="0005201B">
        <w:rPr>
          <w:rFonts w:asciiTheme="majorHAnsi" w:hAnsiTheme="majorHAnsi" w:cstheme="majorHAnsi"/>
          <w:b/>
          <w:bCs/>
          <w:sz w:val="20"/>
          <w:szCs w:val="20"/>
        </w:rPr>
        <w:t xml:space="preserve"> </w:t>
      </w:r>
      <w:r w:rsidRPr="0005201B">
        <w:rPr>
          <w:rFonts w:asciiTheme="majorHAnsi" w:hAnsiTheme="majorHAnsi" w:cstheme="majorHAnsi"/>
          <w:sz w:val="20"/>
          <w:szCs w:val="20"/>
        </w:rPr>
        <w:t>Every owner of a property also owns what is above and beneath it, and he has the right to act freely in his property.  Yet this action should not cause any harm to others, either on the property or adjacent to it.  If any harm is caused, the owner should resolve any disputes with the parties (private or public) which are affected.  If no agreement is reached, either the harm should be removed or the action should be prevented (arts. 1192, 1194, 1197).</w:t>
      </w:r>
    </w:p>
    <w:p w14:paraId="1C82490F" w14:textId="77777777" w:rsidR="00087294" w:rsidRDefault="0005201B" w:rsidP="00087294">
      <w:pPr>
        <w:ind w:right="102"/>
        <w:jc w:val="both"/>
        <w:rPr>
          <w:rFonts w:asciiTheme="majorHAnsi" w:hAnsiTheme="majorHAnsi" w:cstheme="majorHAnsi"/>
          <w:sz w:val="20"/>
          <w:szCs w:val="20"/>
        </w:rPr>
      </w:pPr>
      <w:r w:rsidRPr="00087294">
        <w:rPr>
          <w:rFonts w:asciiTheme="majorHAnsi" w:hAnsiTheme="majorHAnsi" w:cstheme="majorHAnsi"/>
          <w:b/>
          <w:bCs/>
          <w:i/>
          <w:iCs/>
          <w:sz w:val="20"/>
          <w:szCs w:val="20"/>
        </w:rPr>
        <w:t>Neighboring rights:</w:t>
      </w:r>
      <w:r w:rsidRPr="0005201B">
        <w:rPr>
          <w:rFonts w:asciiTheme="majorHAnsi" w:hAnsiTheme="majorHAnsi" w:cstheme="majorHAnsi"/>
          <w:b/>
          <w:bCs/>
          <w:sz w:val="20"/>
          <w:szCs w:val="20"/>
        </w:rPr>
        <w:t xml:space="preserve"> </w:t>
      </w:r>
      <w:r w:rsidRPr="0005201B">
        <w:rPr>
          <w:rFonts w:asciiTheme="majorHAnsi" w:hAnsiTheme="majorHAnsi" w:cstheme="majorHAnsi"/>
          <w:sz w:val="20"/>
          <w:szCs w:val="20"/>
        </w:rPr>
        <w:t xml:space="preserve">Observing the rights of neighbors is an important Islamic conduct. Although the general rule of harm governs the behavior towards neighbors, the </w:t>
      </w:r>
      <w:r w:rsidRPr="0005201B">
        <w:rPr>
          <w:rFonts w:asciiTheme="majorHAnsi" w:hAnsiTheme="majorHAnsi" w:cstheme="majorHAnsi"/>
          <w:iCs/>
          <w:sz w:val="20"/>
          <w:szCs w:val="20"/>
        </w:rPr>
        <w:t>Mecelle</w:t>
      </w:r>
      <w:r w:rsidRPr="0005201B">
        <w:rPr>
          <w:rFonts w:asciiTheme="majorHAnsi" w:hAnsiTheme="majorHAnsi" w:cstheme="majorHAnsi"/>
          <w:sz w:val="20"/>
          <w:szCs w:val="20"/>
        </w:rPr>
        <w:t xml:space="preserve"> allocates several points which control neighboring behavior affecting the built environment.  </w:t>
      </w:r>
    </w:p>
    <w:p w14:paraId="464199C8" w14:textId="549613CC" w:rsidR="0005201B" w:rsidRPr="0005201B" w:rsidRDefault="0005201B" w:rsidP="00087294">
      <w:pPr>
        <w:ind w:right="102"/>
        <w:jc w:val="both"/>
        <w:rPr>
          <w:rFonts w:asciiTheme="majorHAnsi" w:hAnsiTheme="majorHAnsi" w:cstheme="majorHAnsi"/>
          <w:b/>
          <w:bCs/>
          <w:sz w:val="20"/>
          <w:szCs w:val="20"/>
        </w:rPr>
      </w:pPr>
      <w:r w:rsidRPr="0005201B">
        <w:rPr>
          <w:rFonts w:asciiTheme="majorHAnsi" w:hAnsiTheme="majorHAnsi" w:cstheme="majorHAnsi"/>
          <w:sz w:val="20"/>
          <w:szCs w:val="20"/>
        </w:rPr>
        <w:t>These points include:</w:t>
      </w:r>
    </w:p>
    <w:p w14:paraId="5DB572BC" w14:textId="77777777" w:rsidR="0005201B" w:rsidRPr="0005201B" w:rsidRDefault="0005201B" w:rsidP="00087294">
      <w:pPr>
        <w:ind w:right="102"/>
        <w:jc w:val="both"/>
        <w:rPr>
          <w:rFonts w:asciiTheme="majorHAnsi" w:hAnsiTheme="majorHAnsi" w:cstheme="majorHAnsi"/>
          <w:sz w:val="20"/>
          <w:szCs w:val="20"/>
        </w:rPr>
      </w:pPr>
      <w:r w:rsidRPr="000228AD">
        <w:rPr>
          <w:rFonts w:asciiTheme="majorHAnsi" w:hAnsiTheme="majorHAnsi" w:cstheme="majorHAnsi"/>
          <w:i/>
          <w:iCs/>
          <w:sz w:val="20"/>
          <w:szCs w:val="20"/>
        </w:rPr>
        <w:t>Height of development:</w:t>
      </w:r>
      <w:r w:rsidRPr="0005201B">
        <w:rPr>
          <w:rFonts w:asciiTheme="majorHAnsi" w:hAnsiTheme="majorHAnsi" w:cstheme="majorHAnsi"/>
          <w:sz w:val="20"/>
          <w:szCs w:val="20"/>
        </w:rPr>
        <w:t xml:space="preserve"> Every person has the right to raise his building and a wall around or on the top of a building according to his needs as far as no harm will be inflicted on the neighbors.  </w:t>
      </w:r>
    </w:p>
    <w:p w14:paraId="18A4CE7E" w14:textId="20778462" w:rsidR="00087294" w:rsidRPr="0005201B" w:rsidRDefault="0005201B" w:rsidP="00087294">
      <w:pPr>
        <w:ind w:right="102"/>
        <w:jc w:val="both"/>
        <w:rPr>
          <w:rFonts w:asciiTheme="majorHAnsi" w:hAnsiTheme="majorHAnsi" w:cstheme="majorHAnsi"/>
          <w:sz w:val="20"/>
          <w:szCs w:val="20"/>
        </w:rPr>
      </w:pPr>
      <w:r w:rsidRPr="000228AD">
        <w:rPr>
          <w:rFonts w:asciiTheme="majorHAnsi" w:hAnsiTheme="majorHAnsi" w:cstheme="majorHAnsi"/>
          <w:i/>
          <w:iCs/>
          <w:sz w:val="20"/>
          <w:szCs w:val="20"/>
        </w:rPr>
        <w:t>Usage of development:</w:t>
      </w:r>
      <w:r w:rsidRPr="0005201B">
        <w:rPr>
          <w:rFonts w:asciiTheme="majorHAnsi" w:hAnsiTheme="majorHAnsi" w:cstheme="majorHAnsi"/>
          <w:sz w:val="20"/>
          <w:szCs w:val="20"/>
        </w:rPr>
        <w:t xml:space="preserve"> Every person has the right to use his development in the way which satisfies his needs. However, he could be prevented from so doing if an enormous harm affects the privacy of others, the safety of the building or quality of the surrounding environment.</w:t>
      </w:r>
    </w:p>
    <w:p w14:paraId="5F5CAE93" w14:textId="4200BB98" w:rsidR="00087294" w:rsidRPr="0005201B" w:rsidRDefault="0005201B" w:rsidP="00087294">
      <w:pPr>
        <w:ind w:right="102"/>
        <w:jc w:val="both"/>
        <w:rPr>
          <w:rFonts w:asciiTheme="majorHAnsi" w:hAnsiTheme="majorHAnsi" w:cstheme="majorHAnsi"/>
          <w:sz w:val="20"/>
          <w:szCs w:val="20"/>
        </w:rPr>
      </w:pPr>
      <w:r w:rsidRPr="000228AD">
        <w:rPr>
          <w:rFonts w:asciiTheme="majorHAnsi" w:hAnsiTheme="majorHAnsi" w:cstheme="majorHAnsi"/>
          <w:i/>
          <w:iCs/>
          <w:sz w:val="20"/>
          <w:szCs w:val="20"/>
        </w:rPr>
        <w:t>Private and public roads:</w:t>
      </w:r>
      <w:r w:rsidRPr="0005201B">
        <w:rPr>
          <w:rFonts w:asciiTheme="majorHAnsi" w:hAnsiTheme="majorHAnsi" w:cstheme="majorHAnsi"/>
          <w:sz w:val="20"/>
          <w:szCs w:val="20"/>
        </w:rPr>
        <w:t xml:space="preserve"> The </w:t>
      </w:r>
      <w:r w:rsidRPr="0005201B">
        <w:rPr>
          <w:rFonts w:asciiTheme="majorHAnsi" w:hAnsiTheme="majorHAnsi" w:cstheme="majorHAnsi"/>
          <w:i/>
          <w:sz w:val="20"/>
          <w:szCs w:val="20"/>
        </w:rPr>
        <w:t>Mecelle</w:t>
      </w:r>
      <w:r w:rsidRPr="0005201B">
        <w:rPr>
          <w:rFonts w:asciiTheme="majorHAnsi" w:hAnsiTheme="majorHAnsi" w:cstheme="majorHAnsi"/>
          <w:sz w:val="20"/>
          <w:szCs w:val="20"/>
        </w:rPr>
        <w:t xml:space="preserve"> differentiated between public roads which are thoroughfare roads and private roads which are cul-de-sac lanes or alleyways serving certain groups of people and houses. The private cul-de-sac road is a joint property of the people who live around it.  No one can construct anything in it without the permission of other holders.  Yet closing the mouth of such a road is prohibited even if all the holders agree upon it.  The person who has a wall on a private road but not the right to pass through it has no right to open a door onto the road (arts. 1119-1120). Every person has the right to use the public road as long as he does not cause harm to others.  Yet certain uses like opening a door onto the public road or selling and purchasing in it need the permission of the governor.</w:t>
      </w:r>
    </w:p>
    <w:p w14:paraId="17B017BC" w14:textId="256383EC" w:rsidR="0005201B" w:rsidRDefault="0005201B" w:rsidP="00087294">
      <w:pPr>
        <w:ind w:right="102"/>
        <w:jc w:val="both"/>
        <w:rPr>
          <w:rFonts w:asciiTheme="majorHAnsi" w:hAnsiTheme="majorHAnsi" w:cstheme="majorHAnsi"/>
          <w:sz w:val="20"/>
          <w:szCs w:val="20"/>
        </w:rPr>
      </w:pPr>
      <w:r w:rsidRPr="0005201B">
        <w:rPr>
          <w:rFonts w:asciiTheme="majorHAnsi" w:hAnsiTheme="majorHAnsi" w:cstheme="majorHAnsi"/>
          <w:sz w:val="20"/>
          <w:szCs w:val="20"/>
        </w:rPr>
        <w:t xml:space="preserve">From the above articles of the </w:t>
      </w:r>
      <w:r w:rsidRPr="0005201B">
        <w:rPr>
          <w:rFonts w:asciiTheme="majorHAnsi" w:hAnsiTheme="majorHAnsi" w:cstheme="majorHAnsi"/>
          <w:i/>
          <w:sz w:val="20"/>
          <w:szCs w:val="20"/>
        </w:rPr>
        <w:t>Mecelle</w:t>
      </w:r>
      <w:r w:rsidRPr="0005201B">
        <w:rPr>
          <w:rFonts w:asciiTheme="majorHAnsi" w:hAnsiTheme="majorHAnsi" w:cstheme="majorHAnsi"/>
          <w:sz w:val="20"/>
          <w:szCs w:val="20"/>
        </w:rPr>
        <w:t xml:space="preserve">, it is obvious that they are much more general guidelines than detailed and definite rules. The </w:t>
      </w:r>
      <w:r w:rsidRPr="0005201B">
        <w:rPr>
          <w:rFonts w:asciiTheme="majorHAnsi" w:hAnsiTheme="majorHAnsi" w:cstheme="majorHAnsi"/>
          <w:i/>
          <w:sz w:val="20"/>
          <w:szCs w:val="20"/>
        </w:rPr>
        <w:t>Mecelle</w:t>
      </w:r>
      <w:r w:rsidRPr="0005201B">
        <w:rPr>
          <w:rFonts w:asciiTheme="majorHAnsi" w:hAnsiTheme="majorHAnsi" w:cstheme="majorHAnsi"/>
          <w:sz w:val="20"/>
          <w:szCs w:val="20"/>
        </w:rPr>
        <w:t xml:space="preserve"> did not form a special comprehensive tool of urban planning. It did not connect to a hierarchical institutional framework that has its own regulations and rules. Nor did it formulate any ordained system of regulations for the control of urban change. This does not overlook its importance for the judicial system in Palestine in general and the different general contributions it had for the control of Palestinian urban structure. </w:t>
      </w:r>
    </w:p>
    <w:p w14:paraId="75C8AA74" w14:textId="77777777" w:rsidR="000228AD" w:rsidRPr="0005201B" w:rsidRDefault="000228AD" w:rsidP="00087294">
      <w:pPr>
        <w:ind w:right="102"/>
        <w:jc w:val="both"/>
        <w:rPr>
          <w:rFonts w:asciiTheme="majorHAnsi" w:hAnsiTheme="majorHAnsi" w:cstheme="majorHAnsi"/>
          <w:sz w:val="20"/>
          <w:szCs w:val="20"/>
        </w:rPr>
      </w:pPr>
    </w:p>
    <w:p w14:paraId="598B3D8B" w14:textId="77777777" w:rsidR="0005201B" w:rsidRPr="0005201B" w:rsidRDefault="0005201B" w:rsidP="00087294">
      <w:pPr>
        <w:rPr>
          <w:rFonts w:asciiTheme="majorHAnsi" w:hAnsiTheme="majorHAnsi" w:cstheme="majorHAnsi"/>
          <w:b/>
          <w:bCs/>
          <w:sz w:val="20"/>
          <w:szCs w:val="20"/>
        </w:rPr>
      </w:pPr>
      <w:r w:rsidRPr="0005201B">
        <w:rPr>
          <w:rFonts w:asciiTheme="majorHAnsi" w:hAnsiTheme="majorHAnsi" w:cstheme="majorHAnsi"/>
          <w:b/>
          <w:bCs/>
          <w:sz w:val="20"/>
          <w:szCs w:val="20"/>
        </w:rPr>
        <w:t>Ottoman land system</w:t>
      </w:r>
    </w:p>
    <w:p w14:paraId="16712E4B" w14:textId="1BCB8112" w:rsidR="0005201B" w:rsidRDefault="0005201B" w:rsidP="00087294">
      <w:pPr>
        <w:ind w:right="102"/>
        <w:jc w:val="both"/>
        <w:rPr>
          <w:rFonts w:asciiTheme="majorHAnsi" w:hAnsiTheme="majorHAnsi" w:cstheme="majorHAnsi"/>
          <w:sz w:val="20"/>
          <w:szCs w:val="20"/>
        </w:rPr>
      </w:pPr>
      <w:bookmarkStart w:id="3" w:name="_Hlk88710015"/>
      <w:r w:rsidRPr="0005201B">
        <w:rPr>
          <w:rFonts w:asciiTheme="majorHAnsi" w:hAnsiTheme="majorHAnsi" w:cstheme="majorHAnsi"/>
          <w:sz w:val="20"/>
          <w:szCs w:val="20"/>
        </w:rPr>
        <w:lastRenderedPageBreak/>
        <w:t>The Land system which mainly refers to land tenure and distribution</w:t>
      </w:r>
      <w:r w:rsidR="00112B8D">
        <w:rPr>
          <w:rFonts w:asciiTheme="majorHAnsi" w:hAnsiTheme="majorHAnsi" w:cstheme="majorHAnsi"/>
          <w:sz w:val="20"/>
          <w:szCs w:val="20"/>
        </w:rPr>
        <w:t xml:space="preserve"> </w:t>
      </w:r>
      <w:r w:rsidRPr="0005201B">
        <w:rPr>
          <w:rFonts w:asciiTheme="majorHAnsi" w:hAnsiTheme="majorHAnsi" w:cstheme="majorHAnsi"/>
          <w:sz w:val="20"/>
          <w:szCs w:val="20"/>
        </w:rPr>
        <w:t>is considered one of the main factors affecting urban structure.</w:t>
      </w:r>
      <w:r w:rsidR="00112B8D" w:rsidRPr="0005201B">
        <w:rPr>
          <w:rFonts w:asciiTheme="majorHAnsi" w:hAnsiTheme="majorHAnsi" w:cstheme="majorHAnsi"/>
          <w:sz w:val="20"/>
          <w:szCs w:val="20"/>
        </w:rPr>
        <w:t xml:space="preserve"> </w:t>
      </w:r>
      <w:r w:rsidRPr="0005201B">
        <w:rPr>
          <w:rFonts w:asciiTheme="majorHAnsi" w:hAnsiTheme="majorHAnsi" w:cstheme="majorHAnsi"/>
          <w:sz w:val="20"/>
          <w:szCs w:val="20"/>
        </w:rPr>
        <w:t>Granott</w:t>
      </w:r>
      <w:r w:rsidR="00112B8D">
        <w:rPr>
          <w:rFonts w:asciiTheme="majorHAnsi" w:hAnsiTheme="majorHAnsi" w:cstheme="majorHAnsi"/>
          <w:sz w:val="20"/>
          <w:szCs w:val="20"/>
        </w:rPr>
        <w:t xml:space="preserve"> (1952) </w:t>
      </w:r>
      <w:r w:rsidRPr="0005201B">
        <w:rPr>
          <w:rFonts w:asciiTheme="majorHAnsi" w:hAnsiTheme="majorHAnsi" w:cstheme="majorHAnsi"/>
          <w:sz w:val="20"/>
          <w:szCs w:val="20"/>
        </w:rPr>
        <w:t>denotes that land in the Islamic world has, more than any other place on the earth, attained the situation of a strong conservative religious institution which gave all regulations and laws of land a theocratic form. Land ownership in Islam is part of the general ownership which is “the legal rule established by the lawgiver (Allah) who confirms the ways of acquiring ownership”</w:t>
      </w:r>
      <w:r w:rsidR="00112B8D">
        <w:rPr>
          <w:rFonts w:asciiTheme="majorHAnsi" w:hAnsiTheme="majorHAnsi" w:cstheme="majorHAnsi"/>
          <w:sz w:val="20"/>
          <w:szCs w:val="20"/>
        </w:rPr>
        <w:t xml:space="preserve"> (</w:t>
      </w:r>
      <w:r w:rsidR="00112B8D" w:rsidRPr="003969F0">
        <w:rPr>
          <w:rFonts w:asciiTheme="majorHAnsi" w:hAnsiTheme="majorHAnsi" w:cstheme="majorHAnsi"/>
          <w:sz w:val="20"/>
          <w:szCs w:val="20"/>
        </w:rPr>
        <w:t>Salagoor</w:t>
      </w:r>
      <w:r w:rsidR="00112B8D">
        <w:rPr>
          <w:rFonts w:asciiTheme="majorHAnsi" w:hAnsiTheme="majorHAnsi" w:cstheme="majorHAnsi"/>
          <w:sz w:val="20"/>
          <w:szCs w:val="20"/>
        </w:rPr>
        <w:t>, 1990)</w:t>
      </w:r>
      <w:r w:rsidRPr="0005201B">
        <w:rPr>
          <w:rFonts w:asciiTheme="majorHAnsi" w:hAnsiTheme="majorHAnsi" w:cstheme="majorHAnsi"/>
          <w:sz w:val="20"/>
          <w:szCs w:val="20"/>
        </w:rPr>
        <w:t>.</w:t>
      </w:r>
      <w:r w:rsidR="00112B8D" w:rsidRPr="0005201B">
        <w:rPr>
          <w:rFonts w:asciiTheme="majorHAnsi" w:hAnsiTheme="majorHAnsi" w:cstheme="majorHAnsi"/>
          <w:sz w:val="20"/>
          <w:szCs w:val="20"/>
        </w:rPr>
        <w:t xml:space="preserve"> </w:t>
      </w:r>
      <w:r w:rsidRPr="0005201B">
        <w:rPr>
          <w:rFonts w:asciiTheme="majorHAnsi" w:hAnsiTheme="majorHAnsi" w:cstheme="majorHAnsi"/>
          <w:sz w:val="20"/>
          <w:szCs w:val="20"/>
        </w:rPr>
        <w:t>Depending on the general rules of land ownership in Islam, the Ottomans issued in 1856 a special code to regulate for land ownership and development in the Empire.</w:t>
      </w:r>
    </w:p>
    <w:p w14:paraId="69235C30" w14:textId="77777777" w:rsidR="00F4537C" w:rsidRPr="0005201B" w:rsidRDefault="00F4537C" w:rsidP="00087294">
      <w:pPr>
        <w:ind w:right="102"/>
        <w:jc w:val="both"/>
        <w:rPr>
          <w:rFonts w:asciiTheme="majorHAnsi" w:hAnsiTheme="majorHAnsi" w:cstheme="majorHAnsi"/>
          <w:sz w:val="20"/>
          <w:szCs w:val="20"/>
        </w:rPr>
      </w:pPr>
    </w:p>
    <w:p w14:paraId="0F09A8F9" w14:textId="77777777" w:rsidR="0005201B" w:rsidRPr="0005201B" w:rsidRDefault="0005201B" w:rsidP="00087294">
      <w:pPr>
        <w:rPr>
          <w:rFonts w:asciiTheme="majorHAnsi" w:hAnsiTheme="majorHAnsi" w:cstheme="majorHAnsi"/>
          <w:b/>
          <w:bCs/>
          <w:sz w:val="20"/>
          <w:szCs w:val="20"/>
        </w:rPr>
      </w:pPr>
      <w:bookmarkStart w:id="4" w:name="_Hlk88710133"/>
      <w:bookmarkEnd w:id="3"/>
      <w:r w:rsidRPr="0005201B">
        <w:rPr>
          <w:rFonts w:asciiTheme="majorHAnsi" w:hAnsiTheme="majorHAnsi" w:cstheme="majorHAnsi"/>
          <w:b/>
          <w:bCs/>
          <w:sz w:val="20"/>
          <w:szCs w:val="20"/>
        </w:rPr>
        <w:t>1858 Osmanlı Arazi Kanunnâmesi [Kanon al-aradi al-othmani 1858] (Ottoman Land Code, 1856)</w:t>
      </w:r>
    </w:p>
    <w:p w14:paraId="10EC18E7" w14:textId="168A5669" w:rsidR="0005201B" w:rsidRDefault="0005201B" w:rsidP="00087294">
      <w:pPr>
        <w:ind w:right="102"/>
        <w:jc w:val="both"/>
        <w:rPr>
          <w:rFonts w:asciiTheme="majorHAnsi" w:hAnsiTheme="majorHAnsi" w:cstheme="majorHAnsi"/>
          <w:sz w:val="20"/>
          <w:szCs w:val="20"/>
        </w:rPr>
      </w:pPr>
      <w:r w:rsidRPr="0005201B">
        <w:rPr>
          <w:rFonts w:asciiTheme="majorHAnsi" w:hAnsiTheme="majorHAnsi" w:cstheme="majorHAnsi"/>
          <w:sz w:val="20"/>
          <w:szCs w:val="20"/>
        </w:rPr>
        <w:t>The Land Code aimed at reorganizing the ownership of Land and redistributing it in order to produce more effective use and better revenues. The Land Code classified land ownership into several types, the main of which are the following five types</w:t>
      </w:r>
      <w:r w:rsidR="00F511D3">
        <w:rPr>
          <w:rFonts w:asciiTheme="majorHAnsi" w:hAnsiTheme="majorHAnsi" w:cstheme="majorHAnsi"/>
          <w:sz w:val="20"/>
          <w:szCs w:val="20"/>
        </w:rPr>
        <w:t xml:space="preserve"> (</w:t>
      </w:r>
      <w:r w:rsidR="00F511D3" w:rsidRPr="0005201B">
        <w:rPr>
          <w:rFonts w:asciiTheme="majorHAnsi" w:hAnsiTheme="majorHAnsi" w:cstheme="majorHAnsi"/>
          <w:sz w:val="20"/>
          <w:szCs w:val="20"/>
        </w:rPr>
        <w:t>Stein</w:t>
      </w:r>
      <w:r w:rsidR="00F511D3">
        <w:rPr>
          <w:rFonts w:asciiTheme="majorHAnsi" w:hAnsiTheme="majorHAnsi" w:cstheme="majorHAnsi"/>
          <w:sz w:val="20"/>
          <w:szCs w:val="20"/>
        </w:rPr>
        <w:t>, 1984)</w:t>
      </w:r>
      <w:r w:rsidRPr="0005201B">
        <w:rPr>
          <w:rFonts w:asciiTheme="majorHAnsi" w:hAnsiTheme="majorHAnsi" w:cstheme="majorHAnsi"/>
          <w:sz w:val="20"/>
          <w:szCs w:val="20"/>
        </w:rPr>
        <w:t xml:space="preserve">: </w:t>
      </w:r>
    </w:p>
    <w:p w14:paraId="31C671D9" w14:textId="72FDE2A0" w:rsidR="0005201B" w:rsidRPr="0005201B" w:rsidRDefault="0005201B" w:rsidP="00087294">
      <w:pPr>
        <w:ind w:right="102"/>
        <w:jc w:val="both"/>
        <w:rPr>
          <w:rFonts w:asciiTheme="majorHAnsi" w:hAnsiTheme="majorHAnsi" w:cstheme="majorHAnsi"/>
          <w:sz w:val="20"/>
          <w:szCs w:val="20"/>
        </w:rPr>
      </w:pPr>
      <w:r w:rsidRPr="0005201B">
        <w:rPr>
          <w:rFonts w:asciiTheme="majorHAnsi" w:hAnsiTheme="majorHAnsi" w:cstheme="majorHAnsi"/>
          <w:b/>
          <w:bCs/>
          <w:i/>
          <w:sz w:val="20"/>
          <w:szCs w:val="20"/>
        </w:rPr>
        <w:t>Mulk Arazi [Aradi mulk]</w:t>
      </w:r>
      <w:r w:rsidRPr="0005201B">
        <w:rPr>
          <w:rFonts w:asciiTheme="majorHAnsi" w:hAnsiTheme="majorHAnsi" w:cstheme="majorHAnsi"/>
          <w:b/>
          <w:bCs/>
          <w:iCs/>
          <w:sz w:val="20"/>
          <w:szCs w:val="20"/>
        </w:rPr>
        <w:t xml:space="preserve"> </w:t>
      </w:r>
      <w:r w:rsidRPr="0005201B">
        <w:rPr>
          <w:rFonts w:asciiTheme="majorHAnsi" w:hAnsiTheme="majorHAnsi" w:cstheme="majorHAnsi"/>
          <w:b/>
          <w:bCs/>
          <w:sz w:val="20"/>
          <w:szCs w:val="20"/>
        </w:rPr>
        <w:t xml:space="preserve">(freehold ownership land) </w:t>
      </w:r>
    </w:p>
    <w:p w14:paraId="250A6B4D" w14:textId="77777777" w:rsidR="0005201B" w:rsidRPr="0005201B" w:rsidRDefault="0005201B" w:rsidP="00087294">
      <w:pPr>
        <w:ind w:right="102"/>
        <w:jc w:val="both"/>
        <w:rPr>
          <w:rFonts w:asciiTheme="majorHAnsi" w:hAnsiTheme="majorHAnsi" w:cstheme="majorHAnsi"/>
          <w:sz w:val="20"/>
          <w:szCs w:val="20"/>
        </w:rPr>
      </w:pPr>
      <w:r w:rsidRPr="0005201B">
        <w:rPr>
          <w:rFonts w:asciiTheme="majorHAnsi" w:hAnsiTheme="majorHAnsi" w:cstheme="majorHAnsi"/>
          <w:sz w:val="20"/>
          <w:szCs w:val="20"/>
        </w:rPr>
        <w:t>This type mainly existed in the built-up areas and the green land on their fringes.  After the Land Code, the Ottomans began to give title deeds of full freehold ownership for this type of land.</w:t>
      </w:r>
    </w:p>
    <w:p w14:paraId="1BC3234F" w14:textId="77777777" w:rsidR="0005201B" w:rsidRPr="0005201B" w:rsidRDefault="0005201B" w:rsidP="00087294">
      <w:pPr>
        <w:ind w:right="102"/>
        <w:jc w:val="both"/>
        <w:rPr>
          <w:rFonts w:asciiTheme="majorHAnsi" w:hAnsiTheme="majorHAnsi" w:cstheme="majorHAnsi"/>
          <w:b/>
          <w:bCs/>
          <w:sz w:val="20"/>
          <w:szCs w:val="20"/>
        </w:rPr>
      </w:pPr>
      <w:r w:rsidRPr="0005201B">
        <w:rPr>
          <w:rFonts w:asciiTheme="majorHAnsi" w:hAnsiTheme="majorHAnsi" w:cstheme="majorHAnsi"/>
          <w:b/>
          <w:bCs/>
          <w:i/>
          <w:sz w:val="20"/>
          <w:szCs w:val="20"/>
        </w:rPr>
        <w:t>Mîri Arazi [Aradi amiriyah]</w:t>
      </w:r>
      <w:r w:rsidRPr="0005201B">
        <w:rPr>
          <w:rFonts w:asciiTheme="majorHAnsi" w:hAnsiTheme="majorHAnsi" w:cstheme="majorHAnsi"/>
          <w:b/>
          <w:bCs/>
          <w:sz w:val="20"/>
          <w:szCs w:val="20"/>
        </w:rPr>
        <w:t xml:space="preserve"> (Government ownership land)</w:t>
      </w:r>
    </w:p>
    <w:p w14:paraId="282E3D9E" w14:textId="77777777" w:rsidR="0005201B" w:rsidRPr="0005201B" w:rsidRDefault="0005201B" w:rsidP="00087294">
      <w:pPr>
        <w:ind w:right="102"/>
        <w:jc w:val="both"/>
        <w:rPr>
          <w:rFonts w:asciiTheme="majorHAnsi" w:hAnsiTheme="majorHAnsi" w:cstheme="majorHAnsi"/>
          <w:sz w:val="20"/>
          <w:szCs w:val="20"/>
        </w:rPr>
      </w:pPr>
      <w:r w:rsidRPr="0005201B">
        <w:rPr>
          <w:rFonts w:asciiTheme="majorHAnsi" w:hAnsiTheme="majorHAnsi" w:cstheme="majorHAnsi"/>
          <w:sz w:val="20"/>
          <w:szCs w:val="20"/>
        </w:rPr>
        <w:t xml:space="preserve">This land was not owned by a title deed but rather by a usufruct which enabled the holder to use the land and benefit from it while its ownership was retained by the state.  The holder was to pay for the title of this land but at the same time, he was prevented from using the soils of such land for non-agricultural purposes. </w:t>
      </w:r>
      <w:r w:rsidRPr="0005201B">
        <w:rPr>
          <w:rFonts w:asciiTheme="majorHAnsi" w:hAnsiTheme="majorHAnsi" w:cstheme="majorHAnsi"/>
          <w:i/>
          <w:sz w:val="20"/>
          <w:szCs w:val="20"/>
        </w:rPr>
        <w:t>Miri</w:t>
      </w:r>
      <w:r w:rsidRPr="0005201B">
        <w:rPr>
          <w:rFonts w:asciiTheme="majorHAnsi" w:hAnsiTheme="majorHAnsi" w:cstheme="majorHAnsi"/>
          <w:iCs/>
          <w:sz w:val="20"/>
          <w:szCs w:val="20"/>
        </w:rPr>
        <w:t xml:space="preserve"> </w:t>
      </w:r>
      <w:r w:rsidRPr="0005201B">
        <w:rPr>
          <w:rFonts w:asciiTheme="majorHAnsi" w:hAnsiTheme="majorHAnsi" w:cstheme="majorHAnsi"/>
          <w:sz w:val="20"/>
          <w:szCs w:val="20"/>
        </w:rPr>
        <w:t>land mostly constituted the open agricultural land beyond the fringes of the villages and towns. The Land Code aimed at preserving the agricultural land and maintaining its produce.</w:t>
      </w:r>
    </w:p>
    <w:p w14:paraId="10FEA32A" w14:textId="77777777" w:rsidR="0005201B" w:rsidRPr="0005201B" w:rsidRDefault="0005201B" w:rsidP="00087294">
      <w:pPr>
        <w:ind w:right="102"/>
        <w:jc w:val="both"/>
        <w:rPr>
          <w:rFonts w:asciiTheme="majorHAnsi" w:hAnsiTheme="majorHAnsi" w:cstheme="majorHAnsi"/>
          <w:b/>
          <w:bCs/>
          <w:sz w:val="20"/>
          <w:szCs w:val="20"/>
        </w:rPr>
      </w:pPr>
      <w:r w:rsidRPr="0005201B">
        <w:rPr>
          <w:rFonts w:asciiTheme="majorHAnsi" w:hAnsiTheme="majorHAnsi" w:cstheme="majorHAnsi"/>
          <w:b/>
          <w:bCs/>
          <w:i/>
          <w:sz w:val="20"/>
          <w:szCs w:val="20"/>
        </w:rPr>
        <w:t>Vakif Arazi [Aradi wakf]</w:t>
      </w:r>
      <w:r w:rsidRPr="0005201B">
        <w:rPr>
          <w:rFonts w:asciiTheme="majorHAnsi" w:hAnsiTheme="majorHAnsi" w:cstheme="majorHAnsi"/>
          <w:b/>
          <w:bCs/>
          <w:sz w:val="20"/>
          <w:szCs w:val="20"/>
        </w:rPr>
        <w:t xml:space="preserve"> (Endowment land)</w:t>
      </w:r>
    </w:p>
    <w:p w14:paraId="13C64C67" w14:textId="00C52884" w:rsidR="0005201B" w:rsidRPr="0005201B" w:rsidRDefault="0005201B" w:rsidP="00087294">
      <w:pPr>
        <w:ind w:right="102"/>
        <w:jc w:val="both"/>
        <w:rPr>
          <w:rFonts w:asciiTheme="majorHAnsi" w:hAnsiTheme="majorHAnsi" w:cstheme="majorHAnsi"/>
          <w:iCs/>
          <w:sz w:val="20"/>
          <w:szCs w:val="20"/>
        </w:rPr>
      </w:pPr>
      <w:r w:rsidRPr="0005201B">
        <w:rPr>
          <w:rFonts w:asciiTheme="majorHAnsi" w:hAnsiTheme="majorHAnsi" w:cstheme="majorHAnsi"/>
          <w:sz w:val="20"/>
          <w:szCs w:val="20"/>
        </w:rPr>
        <w:t>This type refers to “an estate donated to provide revenues for a beneficent or pious purpose within the Moslem community and aside perpetuity (usually for a family and its heirs) which was regarded as inalienable “</w:t>
      </w:r>
      <w:r w:rsidR="00F511D3">
        <w:rPr>
          <w:rFonts w:asciiTheme="majorHAnsi" w:hAnsiTheme="majorHAnsi" w:cstheme="majorHAnsi"/>
          <w:sz w:val="20"/>
          <w:szCs w:val="20"/>
        </w:rPr>
        <w:t xml:space="preserve"> (</w:t>
      </w:r>
      <w:r w:rsidR="00F511D3" w:rsidRPr="003969F0">
        <w:rPr>
          <w:rFonts w:asciiTheme="majorHAnsi" w:hAnsiTheme="majorHAnsi" w:cstheme="majorHAnsi"/>
          <w:sz w:val="20"/>
          <w:szCs w:val="20"/>
        </w:rPr>
        <w:t>Khalidi</w:t>
      </w:r>
      <w:r w:rsidRPr="0005201B">
        <w:rPr>
          <w:rFonts w:asciiTheme="majorHAnsi" w:hAnsiTheme="majorHAnsi" w:cstheme="majorHAnsi"/>
          <w:sz w:val="20"/>
          <w:szCs w:val="20"/>
        </w:rPr>
        <w:t>.</w:t>
      </w:r>
      <w:r w:rsidR="00F511D3">
        <w:rPr>
          <w:rFonts w:asciiTheme="majorHAnsi" w:hAnsiTheme="majorHAnsi" w:cstheme="majorHAnsi"/>
          <w:sz w:val="20"/>
          <w:szCs w:val="20"/>
        </w:rPr>
        <w:t>, 1992).</w:t>
      </w:r>
    </w:p>
    <w:p w14:paraId="396DC7D9" w14:textId="77777777" w:rsidR="0005201B" w:rsidRPr="0005201B" w:rsidRDefault="0005201B" w:rsidP="00087294">
      <w:pPr>
        <w:ind w:right="102"/>
        <w:jc w:val="both"/>
        <w:rPr>
          <w:rFonts w:asciiTheme="majorHAnsi" w:hAnsiTheme="majorHAnsi" w:cstheme="majorHAnsi"/>
          <w:b/>
          <w:bCs/>
          <w:sz w:val="20"/>
          <w:szCs w:val="20"/>
        </w:rPr>
      </w:pPr>
      <w:r w:rsidRPr="0005201B">
        <w:rPr>
          <w:rFonts w:asciiTheme="majorHAnsi" w:hAnsiTheme="majorHAnsi" w:cstheme="majorHAnsi"/>
          <w:b/>
          <w:bCs/>
          <w:i/>
          <w:sz w:val="20"/>
          <w:szCs w:val="20"/>
        </w:rPr>
        <w:t>Mevat Arazi [Aradi mawat]</w:t>
      </w:r>
      <w:r w:rsidRPr="0005201B">
        <w:rPr>
          <w:rFonts w:asciiTheme="majorHAnsi" w:hAnsiTheme="majorHAnsi" w:cstheme="majorHAnsi"/>
          <w:b/>
          <w:bCs/>
          <w:sz w:val="20"/>
          <w:szCs w:val="20"/>
        </w:rPr>
        <w:t xml:space="preserve"> (dead land)</w:t>
      </w:r>
    </w:p>
    <w:p w14:paraId="4398A969" w14:textId="77777777" w:rsidR="0005201B" w:rsidRPr="0005201B" w:rsidRDefault="0005201B" w:rsidP="00087294">
      <w:pPr>
        <w:ind w:right="102"/>
        <w:jc w:val="both"/>
        <w:rPr>
          <w:rFonts w:asciiTheme="majorHAnsi" w:hAnsiTheme="majorHAnsi" w:cstheme="majorHAnsi"/>
          <w:sz w:val="20"/>
          <w:szCs w:val="20"/>
        </w:rPr>
      </w:pPr>
      <w:r w:rsidRPr="0005201B">
        <w:rPr>
          <w:rFonts w:asciiTheme="majorHAnsi" w:hAnsiTheme="majorHAnsi" w:cstheme="majorHAnsi"/>
          <w:sz w:val="20"/>
          <w:szCs w:val="20"/>
        </w:rPr>
        <w:t xml:space="preserve">This land represented those parts of </w:t>
      </w:r>
      <w:r w:rsidRPr="0005201B">
        <w:rPr>
          <w:rFonts w:asciiTheme="majorHAnsi" w:hAnsiTheme="majorHAnsi" w:cstheme="majorHAnsi"/>
          <w:i/>
          <w:iCs/>
          <w:sz w:val="20"/>
          <w:szCs w:val="20"/>
        </w:rPr>
        <w:t>miri</w:t>
      </w:r>
      <w:r w:rsidRPr="0005201B">
        <w:rPr>
          <w:rFonts w:asciiTheme="majorHAnsi" w:hAnsiTheme="majorHAnsi" w:cstheme="majorHAnsi"/>
          <w:sz w:val="20"/>
          <w:szCs w:val="20"/>
        </w:rPr>
        <w:t xml:space="preserve"> land which were unsettled, unused and had no title deeds.  It was possible to give such land a title (e.g., to make it </w:t>
      </w:r>
      <w:r w:rsidRPr="0005201B">
        <w:rPr>
          <w:rFonts w:asciiTheme="majorHAnsi" w:hAnsiTheme="majorHAnsi" w:cstheme="majorHAnsi"/>
          <w:i/>
          <w:sz w:val="20"/>
          <w:szCs w:val="20"/>
        </w:rPr>
        <w:t>mulk</w:t>
      </w:r>
      <w:r w:rsidRPr="0005201B">
        <w:rPr>
          <w:rFonts w:asciiTheme="majorHAnsi" w:hAnsiTheme="majorHAnsi" w:cstheme="majorHAnsi"/>
          <w:sz w:val="20"/>
          <w:szCs w:val="20"/>
        </w:rPr>
        <w:t xml:space="preserve"> land) by paying its existing value.  This provided for the expansion of many villages and towns either in their built-up areas or agricultural land.</w:t>
      </w:r>
    </w:p>
    <w:p w14:paraId="52A7ED92" w14:textId="77777777" w:rsidR="0005201B" w:rsidRPr="0005201B" w:rsidRDefault="0005201B" w:rsidP="00087294">
      <w:pPr>
        <w:ind w:right="102"/>
        <w:jc w:val="both"/>
        <w:rPr>
          <w:rFonts w:asciiTheme="majorHAnsi" w:hAnsiTheme="majorHAnsi" w:cstheme="majorHAnsi"/>
          <w:b/>
          <w:bCs/>
          <w:sz w:val="20"/>
          <w:szCs w:val="20"/>
        </w:rPr>
      </w:pPr>
      <w:r w:rsidRPr="0005201B">
        <w:rPr>
          <w:rFonts w:asciiTheme="majorHAnsi" w:hAnsiTheme="majorHAnsi" w:cstheme="majorHAnsi"/>
          <w:b/>
          <w:bCs/>
          <w:i/>
          <w:iCs/>
          <w:sz w:val="20"/>
          <w:szCs w:val="20"/>
        </w:rPr>
        <w:t>Metruk Arazi [Aradi matrokah]</w:t>
      </w:r>
      <w:r w:rsidRPr="0005201B">
        <w:rPr>
          <w:rFonts w:asciiTheme="majorHAnsi" w:hAnsiTheme="majorHAnsi" w:cstheme="majorHAnsi"/>
          <w:b/>
          <w:bCs/>
          <w:sz w:val="20"/>
          <w:szCs w:val="20"/>
        </w:rPr>
        <w:t xml:space="preserve"> (derelict land)</w:t>
      </w:r>
    </w:p>
    <w:p w14:paraId="52CC9E4E" w14:textId="7FA5C227" w:rsidR="0005201B" w:rsidRPr="0005201B" w:rsidRDefault="0005201B" w:rsidP="00087294">
      <w:pPr>
        <w:ind w:right="102"/>
        <w:jc w:val="both"/>
        <w:rPr>
          <w:rFonts w:asciiTheme="majorHAnsi" w:hAnsiTheme="majorHAnsi" w:cstheme="majorHAnsi"/>
          <w:sz w:val="20"/>
          <w:szCs w:val="20"/>
        </w:rPr>
      </w:pPr>
      <w:r w:rsidRPr="0005201B">
        <w:rPr>
          <w:rFonts w:asciiTheme="majorHAnsi" w:hAnsiTheme="majorHAnsi" w:cstheme="majorHAnsi"/>
          <w:sz w:val="20"/>
          <w:szCs w:val="20"/>
        </w:rPr>
        <w:t>This land mainly constituted lands which were left for public use like roads, public spaces, worship areas, common pasture lands and common woodlands.  The ownership of such land was only in the hands of the state which prevented the transfer of ownership of such land.</w:t>
      </w:r>
    </w:p>
    <w:p w14:paraId="0EE1EE3B" w14:textId="77777777" w:rsidR="0005201B" w:rsidRPr="0005201B" w:rsidRDefault="0005201B" w:rsidP="00087294">
      <w:pPr>
        <w:rPr>
          <w:rFonts w:asciiTheme="majorHAnsi" w:hAnsiTheme="majorHAnsi" w:cstheme="majorHAnsi"/>
          <w:b/>
          <w:bCs/>
          <w:sz w:val="20"/>
          <w:szCs w:val="20"/>
        </w:rPr>
      </w:pPr>
      <w:r w:rsidRPr="0005201B">
        <w:rPr>
          <w:rFonts w:asciiTheme="majorHAnsi" w:hAnsiTheme="majorHAnsi" w:cstheme="majorHAnsi"/>
          <w:b/>
          <w:bCs/>
          <w:sz w:val="20"/>
          <w:szCs w:val="20"/>
        </w:rPr>
        <w:t xml:space="preserve">Ottoman Land Code as an instrument for the control of Palestinian urban structure </w:t>
      </w:r>
    </w:p>
    <w:p w14:paraId="0C7D0363" w14:textId="18A59EC0" w:rsidR="0005201B" w:rsidRPr="0005201B" w:rsidRDefault="0005201B" w:rsidP="00087294">
      <w:pPr>
        <w:ind w:right="102"/>
        <w:jc w:val="both"/>
        <w:rPr>
          <w:rFonts w:asciiTheme="majorHAnsi" w:hAnsiTheme="majorHAnsi" w:cstheme="majorHAnsi"/>
          <w:sz w:val="20"/>
          <w:szCs w:val="20"/>
        </w:rPr>
      </w:pPr>
      <w:r w:rsidRPr="0005201B">
        <w:rPr>
          <w:rFonts w:asciiTheme="majorHAnsi" w:hAnsiTheme="majorHAnsi" w:cstheme="majorHAnsi"/>
          <w:sz w:val="20"/>
          <w:szCs w:val="20"/>
        </w:rPr>
        <w:t>Several points in the Land Code generally referred to the control of the built environment. They are explored down here in order to understand the effects of this code on Palestinian urban structure</w:t>
      </w:r>
      <w:r w:rsidR="00F511D3">
        <w:rPr>
          <w:rFonts w:asciiTheme="majorHAnsi" w:hAnsiTheme="majorHAnsi" w:cstheme="majorHAnsi"/>
          <w:sz w:val="20"/>
          <w:szCs w:val="20"/>
        </w:rPr>
        <w:t xml:space="preserve"> (</w:t>
      </w:r>
      <w:r w:rsidR="00F511D3" w:rsidRPr="003969F0">
        <w:rPr>
          <w:rFonts w:asciiTheme="majorHAnsi" w:hAnsiTheme="majorHAnsi" w:cstheme="majorHAnsi"/>
          <w:sz w:val="20"/>
          <w:szCs w:val="20"/>
        </w:rPr>
        <w:t>Makam</w:t>
      </w:r>
      <w:r w:rsidR="00F511D3">
        <w:rPr>
          <w:rFonts w:asciiTheme="majorHAnsi" w:hAnsiTheme="majorHAnsi" w:cstheme="majorHAnsi"/>
          <w:sz w:val="20"/>
          <w:szCs w:val="20"/>
        </w:rPr>
        <w:t>, 2021)</w:t>
      </w:r>
      <w:r w:rsidRPr="0005201B">
        <w:rPr>
          <w:rFonts w:asciiTheme="majorHAnsi" w:hAnsiTheme="majorHAnsi" w:cstheme="majorHAnsi"/>
          <w:sz w:val="20"/>
          <w:szCs w:val="20"/>
        </w:rPr>
        <w:t xml:space="preserve">. </w:t>
      </w:r>
    </w:p>
    <w:p w14:paraId="654177C2" w14:textId="77777777" w:rsidR="0005201B" w:rsidRDefault="0005201B" w:rsidP="00087294">
      <w:pPr>
        <w:ind w:right="102"/>
        <w:jc w:val="both"/>
        <w:rPr>
          <w:rFonts w:asciiTheme="majorHAnsi" w:hAnsiTheme="majorHAnsi" w:cstheme="majorHAnsi"/>
          <w:sz w:val="20"/>
          <w:szCs w:val="20"/>
        </w:rPr>
      </w:pPr>
      <w:r w:rsidRPr="0005201B">
        <w:rPr>
          <w:rFonts w:asciiTheme="majorHAnsi" w:hAnsiTheme="majorHAnsi" w:cstheme="majorHAnsi"/>
          <w:sz w:val="20"/>
          <w:szCs w:val="20"/>
        </w:rPr>
        <w:t xml:space="preserve">Art. 12 insisted that nobody could use the soil of his land for making bricks and tiles without the consent of the land’s </w:t>
      </w:r>
      <w:r w:rsidRPr="0005201B">
        <w:rPr>
          <w:rFonts w:asciiTheme="majorHAnsi" w:hAnsiTheme="majorHAnsi" w:cstheme="majorHAnsi"/>
          <w:i/>
          <w:sz w:val="20"/>
          <w:szCs w:val="20"/>
        </w:rPr>
        <w:t>Memur [Mamor]</w:t>
      </w:r>
      <w:r w:rsidRPr="0005201B">
        <w:rPr>
          <w:rFonts w:asciiTheme="majorHAnsi" w:hAnsiTheme="majorHAnsi" w:cstheme="majorHAnsi"/>
          <w:sz w:val="20"/>
          <w:szCs w:val="20"/>
        </w:rPr>
        <w:t xml:space="preserve"> (director of land).</w:t>
      </w:r>
    </w:p>
    <w:p w14:paraId="5F90EF35" w14:textId="4C5147EF" w:rsidR="0005201B" w:rsidRPr="0005201B" w:rsidRDefault="0005201B" w:rsidP="00087294">
      <w:pPr>
        <w:ind w:right="102"/>
        <w:jc w:val="both"/>
        <w:rPr>
          <w:rFonts w:asciiTheme="majorHAnsi" w:hAnsiTheme="majorHAnsi" w:cstheme="majorHAnsi"/>
          <w:sz w:val="20"/>
          <w:szCs w:val="20"/>
        </w:rPr>
      </w:pPr>
      <w:r w:rsidRPr="0005201B">
        <w:rPr>
          <w:rFonts w:asciiTheme="majorHAnsi" w:hAnsiTheme="majorHAnsi" w:cstheme="majorHAnsi"/>
          <w:sz w:val="20"/>
          <w:szCs w:val="20"/>
        </w:rPr>
        <w:t>Art. 28 prohibited the cutting of natural trees in any land.</w:t>
      </w:r>
    </w:p>
    <w:p w14:paraId="56359ED7" w14:textId="77777777" w:rsidR="0005201B" w:rsidRPr="0005201B" w:rsidRDefault="0005201B" w:rsidP="00087294">
      <w:pPr>
        <w:ind w:right="102"/>
        <w:jc w:val="both"/>
        <w:rPr>
          <w:rFonts w:asciiTheme="majorHAnsi" w:hAnsiTheme="majorHAnsi" w:cstheme="majorHAnsi"/>
          <w:sz w:val="20"/>
          <w:szCs w:val="20"/>
        </w:rPr>
      </w:pPr>
      <w:r w:rsidRPr="0005201B">
        <w:rPr>
          <w:rFonts w:asciiTheme="majorHAnsi" w:hAnsiTheme="majorHAnsi" w:cstheme="majorHAnsi"/>
          <w:sz w:val="20"/>
          <w:szCs w:val="20"/>
        </w:rPr>
        <w:t xml:space="preserve">Art 31 prevented the construction of any new buildings on meri land without the consent of the </w:t>
      </w:r>
      <w:r w:rsidRPr="0005201B">
        <w:rPr>
          <w:rFonts w:asciiTheme="majorHAnsi" w:hAnsiTheme="majorHAnsi" w:cstheme="majorHAnsi"/>
          <w:i/>
          <w:sz w:val="20"/>
          <w:szCs w:val="20"/>
        </w:rPr>
        <w:t>Memur</w:t>
      </w:r>
      <w:r w:rsidRPr="0005201B">
        <w:rPr>
          <w:rFonts w:asciiTheme="majorHAnsi" w:hAnsiTheme="majorHAnsi" w:cstheme="majorHAnsi"/>
          <w:sz w:val="20"/>
          <w:szCs w:val="20"/>
        </w:rPr>
        <w:t xml:space="preserve"> who could order the demolition of the buildings which did not have permission.</w:t>
      </w:r>
    </w:p>
    <w:p w14:paraId="621B8F18" w14:textId="77777777" w:rsidR="0005201B" w:rsidRPr="0005201B" w:rsidRDefault="0005201B" w:rsidP="00087294">
      <w:pPr>
        <w:ind w:right="102"/>
        <w:jc w:val="both"/>
        <w:rPr>
          <w:rFonts w:asciiTheme="majorHAnsi" w:hAnsiTheme="majorHAnsi" w:cstheme="majorHAnsi"/>
          <w:sz w:val="20"/>
          <w:szCs w:val="20"/>
        </w:rPr>
      </w:pPr>
      <w:r w:rsidRPr="0005201B">
        <w:rPr>
          <w:rFonts w:asciiTheme="majorHAnsi" w:hAnsiTheme="majorHAnsi" w:cstheme="majorHAnsi"/>
          <w:sz w:val="20"/>
          <w:szCs w:val="20"/>
        </w:rPr>
        <w:t>Art. 32 determined the nature of the buildings which could be erected on meri land. These buildings included mills, stores, stables and the like for agricultural uses.</w:t>
      </w:r>
    </w:p>
    <w:p w14:paraId="564D88A0" w14:textId="77777777" w:rsidR="0005201B" w:rsidRPr="0005201B" w:rsidRDefault="0005201B" w:rsidP="00087294">
      <w:pPr>
        <w:ind w:right="102"/>
        <w:jc w:val="both"/>
        <w:rPr>
          <w:rFonts w:asciiTheme="majorHAnsi" w:hAnsiTheme="majorHAnsi" w:cstheme="majorHAnsi"/>
          <w:sz w:val="20"/>
          <w:szCs w:val="20"/>
        </w:rPr>
      </w:pPr>
      <w:r w:rsidRPr="0005201B">
        <w:rPr>
          <w:rFonts w:asciiTheme="majorHAnsi" w:hAnsiTheme="majorHAnsi" w:cstheme="majorHAnsi"/>
          <w:sz w:val="20"/>
          <w:szCs w:val="20"/>
        </w:rPr>
        <w:t xml:space="preserve">Art. 93 insisted that no one could erect any buildings or plant any trees in a public road. If he did, these had to be removed immediately.  </w:t>
      </w:r>
    </w:p>
    <w:p w14:paraId="54F452D1" w14:textId="77777777" w:rsidR="0005201B" w:rsidRDefault="0005201B" w:rsidP="00087294">
      <w:pPr>
        <w:ind w:right="102"/>
        <w:jc w:val="both"/>
        <w:rPr>
          <w:rFonts w:asciiTheme="majorHAnsi" w:hAnsiTheme="majorHAnsi" w:cstheme="majorHAnsi"/>
          <w:sz w:val="20"/>
          <w:szCs w:val="20"/>
        </w:rPr>
      </w:pPr>
      <w:r w:rsidRPr="0005201B">
        <w:rPr>
          <w:rFonts w:asciiTheme="majorHAnsi" w:hAnsiTheme="majorHAnsi" w:cstheme="majorHAnsi"/>
          <w:sz w:val="20"/>
          <w:szCs w:val="20"/>
        </w:rPr>
        <w:t>Art. 94 insisted that no building could be constructed, nor any trees planted in the open public spaces and outdoor prayer spaces.  These spaces together with the public roads were not available for sale or purchase.</w:t>
      </w:r>
    </w:p>
    <w:p w14:paraId="65FE71FB" w14:textId="43D81D99" w:rsidR="0005201B" w:rsidRPr="0005201B" w:rsidRDefault="0005201B" w:rsidP="00087294">
      <w:pPr>
        <w:ind w:right="102"/>
        <w:jc w:val="both"/>
        <w:rPr>
          <w:rFonts w:asciiTheme="majorHAnsi" w:hAnsiTheme="majorHAnsi" w:cstheme="majorHAnsi"/>
          <w:sz w:val="20"/>
          <w:szCs w:val="20"/>
        </w:rPr>
      </w:pPr>
      <w:r w:rsidRPr="0005201B">
        <w:rPr>
          <w:rFonts w:asciiTheme="majorHAnsi" w:hAnsiTheme="majorHAnsi" w:cstheme="majorHAnsi"/>
          <w:sz w:val="20"/>
          <w:szCs w:val="20"/>
        </w:rPr>
        <w:t xml:space="preserve">Arts. 95, 96 and 97 gave the position described above for the markets, threshing floors and pastures.  </w:t>
      </w:r>
    </w:p>
    <w:p w14:paraId="6D678E5C" w14:textId="77777777" w:rsidR="0005201B" w:rsidRPr="0005201B" w:rsidRDefault="0005201B" w:rsidP="00087294">
      <w:pPr>
        <w:ind w:right="102"/>
        <w:jc w:val="both"/>
        <w:rPr>
          <w:rFonts w:asciiTheme="majorHAnsi" w:hAnsiTheme="majorHAnsi" w:cstheme="majorHAnsi"/>
          <w:sz w:val="20"/>
          <w:szCs w:val="20"/>
        </w:rPr>
      </w:pPr>
      <w:r w:rsidRPr="0005201B">
        <w:rPr>
          <w:rFonts w:asciiTheme="majorHAnsi" w:hAnsiTheme="majorHAnsi" w:cstheme="majorHAnsi"/>
          <w:sz w:val="20"/>
          <w:szCs w:val="20"/>
        </w:rPr>
        <w:t xml:space="preserve">Art. 103 restricted the revivification of </w:t>
      </w:r>
      <w:r w:rsidRPr="0005201B">
        <w:rPr>
          <w:rFonts w:asciiTheme="majorHAnsi" w:hAnsiTheme="majorHAnsi" w:cstheme="majorHAnsi"/>
          <w:i/>
          <w:sz w:val="20"/>
          <w:szCs w:val="20"/>
        </w:rPr>
        <w:t>Mevat</w:t>
      </w:r>
      <w:r w:rsidRPr="0005201B">
        <w:rPr>
          <w:rFonts w:asciiTheme="majorHAnsi" w:hAnsiTheme="majorHAnsi" w:cstheme="majorHAnsi"/>
          <w:sz w:val="20"/>
          <w:szCs w:val="20"/>
        </w:rPr>
        <w:t xml:space="preserve"> land for agricultural uses, yet it was ruled out in 1911 that the construction of buildings was also a revival for </w:t>
      </w:r>
      <w:r w:rsidRPr="0005201B">
        <w:rPr>
          <w:rFonts w:asciiTheme="majorHAnsi" w:hAnsiTheme="majorHAnsi" w:cstheme="majorHAnsi"/>
          <w:i/>
          <w:sz w:val="20"/>
          <w:szCs w:val="20"/>
        </w:rPr>
        <w:t>Mevat</w:t>
      </w:r>
      <w:r w:rsidRPr="0005201B">
        <w:rPr>
          <w:rFonts w:asciiTheme="majorHAnsi" w:hAnsiTheme="majorHAnsi" w:cstheme="majorHAnsi"/>
          <w:sz w:val="20"/>
          <w:szCs w:val="20"/>
        </w:rPr>
        <w:t xml:space="preserve"> land. Supervision of the </w:t>
      </w:r>
      <w:r w:rsidRPr="0005201B">
        <w:rPr>
          <w:rFonts w:asciiTheme="majorHAnsi" w:hAnsiTheme="majorHAnsi" w:cstheme="majorHAnsi"/>
          <w:i/>
          <w:sz w:val="20"/>
          <w:szCs w:val="20"/>
        </w:rPr>
        <w:t>Memur</w:t>
      </w:r>
      <w:r w:rsidRPr="0005201B">
        <w:rPr>
          <w:rFonts w:asciiTheme="majorHAnsi" w:hAnsiTheme="majorHAnsi" w:cstheme="majorHAnsi"/>
          <w:sz w:val="20"/>
          <w:szCs w:val="20"/>
        </w:rPr>
        <w:t xml:space="preserve"> was the only means to control this development.</w:t>
      </w:r>
    </w:p>
    <w:p w14:paraId="3902B87F" w14:textId="0037D4E6" w:rsidR="0005201B" w:rsidRDefault="0005201B" w:rsidP="00087294">
      <w:pPr>
        <w:ind w:right="102"/>
        <w:jc w:val="both"/>
        <w:rPr>
          <w:rFonts w:asciiTheme="majorHAnsi" w:hAnsiTheme="majorHAnsi" w:cstheme="majorHAnsi"/>
          <w:sz w:val="20"/>
          <w:szCs w:val="20"/>
        </w:rPr>
      </w:pPr>
      <w:r w:rsidRPr="0005201B">
        <w:rPr>
          <w:rFonts w:asciiTheme="majorHAnsi" w:hAnsiTheme="majorHAnsi" w:cstheme="majorHAnsi"/>
          <w:sz w:val="20"/>
          <w:szCs w:val="20"/>
        </w:rPr>
        <w:t>Art. 132 prevented the filling with earth of any part of the sea without the consent of the Sultan.</w:t>
      </w:r>
    </w:p>
    <w:bookmarkEnd w:id="4"/>
    <w:p w14:paraId="78EF29DB" w14:textId="77777777" w:rsidR="00C87F4D" w:rsidRPr="0005201B" w:rsidRDefault="00C87F4D" w:rsidP="00087294">
      <w:pPr>
        <w:ind w:right="102"/>
        <w:jc w:val="both"/>
        <w:rPr>
          <w:rFonts w:asciiTheme="majorHAnsi" w:hAnsiTheme="majorHAnsi" w:cstheme="majorHAnsi"/>
          <w:sz w:val="20"/>
          <w:szCs w:val="20"/>
        </w:rPr>
      </w:pPr>
    </w:p>
    <w:p w14:paraId="386CBBB3" w14:textId="77777777" w:rsidR="0005201B" w:rsidRPr="0005201B" w:rsidRDefault="0005201B" w:rsidP="00087294">
      <w:pPr>
        <w:rPr>
          <w:rFonts w:asciiTheme="majorHAnsi" w:hAnsiTheme="majorHAnsi" w:cstheme="majorHAnsi"/>
          <w:b/>
          <w:bCs/>
          <w:sz w:val="20"/>
          <w:szCs w:val="20"/>
        </w:rPr>
      </w:pPr>
      <w:r w:rsidRPr="0005201B">
        <w:rPr>
          <w:rFonts w:asciiTheme="majorHAnsi" w:hAnsiTheme="majorHAnsi" w:cstheme="majorHAnsi"/>
          <w:b/>
          <w:bCs/>
          <w:sz w:val="20"/>
          <w:szCs w:val="20"/>
        </w:rPr>
        <w:t>Ottoman land system and the urban structure of Palestinian cities</w:t>
      </w:r>
    </w:p>
    <w:p w14:paraId="74BFE2A6" w14:textId="1CB8FFBE" w:rsidR="00106022" w:rsidRDefault="0005201B" w:rsidP="000F1933">
      <w:pPr>
        <w:ind w:right="102"/>
        <w:jc w:val="both"/>
        <w:rPr>
          <w:rFonts w:asciiTheme="majorHAnsi" w:hAnsiTheme="majorHAnsi" w:cstheme="majorHAnsi"/>
          <w:sz w:val="20"/>
          <w:szCs w:val="20"/>
        </w:rPr>
      </w:pPr>
      <w:bookmarkStart w:id="5" w:name="_Hlk88710328"/>
      <w:r w:rsidRPr="0005201B">
        <w:rPr>
          <w:rFonts w:asciiTheme="majorHAnsi" w:hAnsiTheme="majorHAnsi" w:cstheme="majorHAnsi"/>
          <w:sz w:val="20"/>
          <w:szCs w:val="20"/>
        </w:rPr>
        <w:t>Since the mid-19th century, the Ottoman land system was the main factor shaping the urban structure of Palestinian cities, towns and villages</w:t>
      </w:r>
      <w:r w:rsidR="00F511D3">
        <w:rPr>
          <w:rFonts w:asciiTheme="majorHAnsi" w:hAnsiTheme="majorHAnsi" w:cstheme="majorHAnsi"/>
          <w:sz w:val="20"/>
          <w:szCs w:val="20"/>
        </w:rPr>
        <w:t xml:space="preserve"> (</w:t>
      </w:r>
      <w:r w:rsidR="00F511D3" w:rsidRPr="003969F0">
        <w:rPr>
          <w:rFonts w:asciiTheme="majorHAnsi" w:hAnsiTheme="majorHAnsi" w:cstheme="majorHAnsi"/>
          <w:sz w:val="20"/>
          <w:szCs w:val="20"/>
        </w:rPr>
        <w:t>Granott</w:t>
      </w:r>
      <w:r w:rsidR="00F511D3">
        <w:rPr>
          <w:rFonts w:asciiTheme="majorHAnsi" w:hAnsiTheme="majorHAnsi" w:cstheme="majorHAnsi"/>
          <w:sz w:val="20"/>
          <w:szCs w:val="20"/>
        </w:rPr>
        <w:t>, 1952)</w:t>
      </w:r>
      <w:r w:rsidRPr="0005201B">
        <w:rPr>
          <w:rFonts w:asciiTheme="majorHAnsi" w:hAnsiTheme="majorHAnsi" w:cstheme="majorHAnsi"/>
          <w:sz w:val="20"/>
          <w:szCs w:val="20"/>
        </w:rPr>
        <w:t xml:space="preserve">. Boundaries of the urban structures became identifiable with their urban spatial layouts. By encouraging the people to register their holdings, the individual holdings </w:t>
      </w:r>
      <w:r w:rsidRPr="0005201B">
        <w:rPr>
          <w:rFonts w:asciiTheme="majorHAnsi" w:hAnsiTheme="majorHAnsi" w:cstheme="majorHAnsi"/>
          <w:sz w:val="20"/>
          <w:szCs w:val="20"/>
        </w:rPr>
        <w:lastRenderedPageBreak/>
        <w:t>increased and the general space of the settlement became more divided</w:t>
      </w:r>
      <w:r w:rsidR="00106022">
        <w:rPr>
          <w:rFonts w:asciiTheme="majorHAnsi" w:hAnsiTheme="majorHAnsi" w:cstheme="majorHAnsi"/>
          <w:sz w:val="20"/>
          <w:szCs w:val="20"/>
        </w:rPr>
        <w:t xml:space="preserve"> (</w:t>
      </w:r>
      <w:r w:rsidR="00106022" w:rsidRPr="000F1933">
        <w:rPr>
          <w:rFonts w:asciiTheme="majorHAnsi" w:hAnsiTheme="majorHAnsi" w:cstheme="majorHAnsi"/>
          <w:sz w:val="20"/>
          <w:szCs w:val="20"/>
        </w:rPr>
        <w:t>Solomonovich and Kark</w:t>
      </w:r>
      <w:r w:rsidR="00106022" w:rsidRPr="00106022">
        <w:rPr>
          <w:rFonts w:asciiTheme="majorHAnsi" w:hAnsiTheme="majorHAnsi" w:cstheme="majorHAnsi"/>
          <w:sz w:val="20"/>
          <w:szCs w:val="20"/>
        </w:rPr>
        <w:t>, 2015)</w:t>
      </w:r>
      <w:r w:rsidR="00106022">
        <w:rPr>
          <w:rFonts w:asciiTheme="majorHAnsi" w:hAnsiTheme="majorHAnsi" w:cstheme="majorHAnsi"/>
          <w:sz w:val="20"/>
          <w:szCs w:val="20"/>
        </w:rPr>
        <w:t xml:space="preserve">, </w:t>
      </w:r>
      <w:r w:rsidR="00C87F4D">
        <w:rPr>
          <w:rFonts w:asciiTheme="majorHAnsi" w:hAnsiTheme="majorHAnsi" w:cstheme="majorHAnsi"/>
          <w:sz w:val="20"/>
          <w:szCs w:val="20"/>
        </w:rPr>
        <w:t>(Figure 4).</w:t>
      </w:r>
    </w:p>
    <w:p w14:paraId="365BB467" w14:textId="4B180D37" w:rsidR="000F1933" w:rsidRPr="0005201B" w:rsidRDefault="0005201B" w:rsidP="000F1933">
      <w:pPr>
        <w:ind w:right="102"/>
        <w:jc w:val="both"/>
        <w:rPr>
          <w:rFonts w:asciiTheme="majorHAnsi" w:hAnsiTheme="majorHAnsi" w:cstheme="majorHAnsi"/>
          <w:sz w:val="20"/>
          <w:szCs w:val="20"/>
        </w:rPr>
      </w:pPr>
      <w:r w:rsidRPr="0005201B">
        <w:rPr>
          <w:rFonts w:asciiTheme="majorHAnsi" w:hAnsiTheme="majorHAnsi" w:cstheme="majorHAnsi"/>
          <w:sz w:val="20"/>
          <w:szCs w:val="20"/>
        </w:rPr>
        <w:t xml:space="preserve">Adding the inheritance effect to this factor, parcels continued to be divided producing a mosaic like structure.   </w:t>
      </w:r>
    </w:p>
    <w:p w14:paraId="7459A7A5" w14:textId="77777777" w:rsidR="0005201B" w:rsidRPr="0005201B" w:rsidRDefault="0005201B" w:rsidP="00087294">
      <w:pPr>
        <w:ind w:right="102"/>
        <w:jc w:val="both"/>
        <w:rPr>
          <w:rFonts w:asciiTheme="majorHAnsi" w:hAnsiTheme="majorHAnsi" w:cstheme="majorHAnsi"/>
          <w:sz w:val="20"/>
          <w:szCs w:val="20"/>
        </w:rPr>
      </w:pPr>
      <w:r w:rsidRPr="0005201B">
        <w:rPr>
          <w:rFonts w:asciiTheme="majorHAnsi" w:hAnsiTheme="majorHAnsi" w:cstheme="majorHAnsi"/>
          <w:sz w:val="20"/>
          <w:szCs w:val="20"/>
        </w:rPr>
        <w:t xml:space="preserve">The Ottoman land system was the only system in Palestine which differentiated between the open land beyond the fringe of the city and other elements of its physical built up areas. It differentiated between </w:t>
      </w:r>
      <w:r w:rsidRPr="0005201B">
        <w:rPr>
          <w:rFonts w:asciiTheme="majorHAnsi" w:hAnsiTheme="majorHAnsi" w:cstheme="majorHAnsi"/>
          <w:i/>
          <w:sz w:val="20"/>
          <w:szCs w:val="20"/>
        </w:rPr>
        <w:t>mulk</w:t>
      </w:r>
      <w:r w:rsidRPr="0005201B">
        <w:rPr>
          <w:rFonts w:asciiTheme="majorHAnsi" w:hAnsiTheme="majorHAnsi" w:cstheme="majorHAnsi"/>
          <w:sz w:val="20"/>
          <w:szCs w:val="20"/>
        </w:rPr>
        <w:t xml:space="preserve"> and </w:t>
      </w:r>
      <w:r w:rsidRPr="0005201B">
        <w:rPr>
          <w:rFonts w:asciiTheme="majorHAnsi" w:hAnsiTheme="majorHAnsi" w:cstheme="majorHAnsi"/>
          <w:iCs/>
          <w:sz w:val="20"/>
          <w:szCs w:val="20"/>
        </w:rPr>
        <w:t>miri</w:t>
      </w:r>
      <w:r w:rsidRPr="0005201B">
        <w:rPr>
          <w:rFonts w:asciiTheme="majorHAnsi" w:hAnsiTheme="majorHAnsi" w:cstheme="majorHAnsi"/>
          <w:sz w:val="20"/>
          <w:szCs w:val="20"/>
        </w:rPr>
        <w:t xml:space="preserve"> land. The open land beyond the fringe of the city was classified miri while other elements of the built-up areas occupied </w:t>
      </w:r>
      <w:r w:rsidRPr="0005201B">
        <w:rPr>
          <w:rFonts w:asciiTheme="majorHAnsi" w:hAnsiTheme="majorHAnsi" w:cstheme="majorHAnsi"/>
          <w:i/>
          <w:sz w:val="20"/>
          <w:szCs w:val="20"/>
        </w:rPr>
        <w:t>mulk</w:t>
      </w:r>
      <w:r w:rsidRPr="0005201B">
        <w:rPr>
          <w:rFonts w:asciiTheme="majorHAnsi" w:hAnsiTheme="majorHAnsi" w:cstheme="majorHAnsi"/>
          <w:sz w:val="20"/>
          <w:szCs w:val="20"/>
        </w:rPr>
        <w:t xml:space="preserve"> land.</w:t>
      </w:r>
    </w:p>
    <w:p w14:paraId="2E816226" w14:textId="38889252" w:rsidR="0005201B" w:rsidRPr="0005201B" w:rsidRDefault="0005201B" w:rsidP="00087294">
      <w:pPr>
        <w:ind w:right="102"/>
        <w:jc w:val="both"/>
        <w:rPr>
          <w:rFonts w:asciiTheme="majorHAnsi" w:hAnsiTheme="majorHAnsi" w:cstheme="majorHAnsi"/>
          <w:sz w:val="20"/>
          <w:szCs w:val="20"/>
        </w:rPr>
      </w:pPr>
      <w:r w:rsidRPr="0005201B">
        <w:rPr>
          <w:rFonts w:asciiTheme="majorHAnsi" w:hAnsiTheme="majorHAnsi" w:cstheme="majorHAnsi"/>
          <w:sz w:val="20"/>
          <w:szCs w:val="20"/>
        </w:rPr>
        <w:t xml:space="preserve">Although the construction of buildings on </w:t>
      </w:r>
      <w:r w:rsidRPr="0005201B">
        <w:rPr>
          <w:rFonts w:asciiTheme="majorHAnsi" w:hAnsiTheme="majorHAnsi" w:cstheme="majorHAnsi"/>
          <w:iCs/>
          <w:sz w:val="20"/>
          <w:szCs w:val="20"/>
        </w:rPr>
        <w:t>miri</w:t>
      </w:r>
      <w:r w:rsidRPr="0005201B">
        <w:rPr>
          <w:rFonts w:asciiTheme="majorHAnsi" w:hAnsiTheme="majorHAnsi" w:cstheme="majorHAnsi"/>
          <w:sz w:val="20"/>
          <w:szCs w:val="20"/>
        </w:rPr>
        <w:t xml:space="preserve"> land was prohibited, the increase in the individual holdings encouraged the expansion of the built-up areas providing more dispersed patterns of the built-up areas</w:t>
      </w:r>
      <w:r w:rsidR="00F511D3">
        <w:rPr>
          <w:rFonts w:asciiTheme="majorHAnsi" w:hAnsiTheme="majorHAnsi" w:cstheme="majorHAnsi"/>
          <w:sz w:val="20"/>
          <w:szCs w:val="20"/>
        </w:rPr>
        <w:t xml:space="preserve"> (</w:t>
      </w:r>
      <w:r w:rsidR="00F511D3" w:rsidRPr="003969F0">
        <w:rPr>
          <w:rFonts w:asciiTheme="majorHAnsi" w:hAnsiTheme="majorHAnsi" w:cstheme="majorHAnsi"/>
          <w:sz w:val="20"/>
          <w:szCs w:val="20"/>
        </w:rPr>
        <w:t>Grossman</w:t>
      </w:r>
      <w:r w:rsidR="00F511D3">
        <w:rPr>
          <w:rFonts w:asciiTheme="majorHAnsi" w:hAnsiTheme="majorHAnsi" w:cstheme="majorHAnsi"/>
          <w:sz w:val="20"/>
          <w:szCs w:val="20"/>
        </w:rPr>
        <w:t>, 1980).</w:t>
      </w:r>
      <w:r w:rsidR="00F511D3" w:rsidRPr="0005201B">
        <w:rPr>
          <w:rFonts w:asciiTheme="majorHAnsi" w:hAnsiTheme="majorHAnsi" w:cstheme="majorHAnsi"/>
          <w:sz w:val="20"/>
          <w:szCs w:val="20"/>
        </w:rPr>
        <w:t xml:space="preserve"> </w:t>
      </w:r>
      <w:r w:rsidRPr="0005201B">
        <w:rPr>
          <w:rFonts w:asciiTheme="majorHAnsi" w:hAnsiTheme="majorHAnsi" w:cstheme="majorHAnsi"/>
          <w:sz w:val="20"/>
          <w:szCs w:val="20"/>
        </w:rPr>
        <w:t>The Ottoman land system in Palestine was the first to recognize the official reservation of roads, open spaces and public squares for the benefit of the public.</w:t>
      </w:r>
    </w:p>
    <w:p w14:paraId="55B69C2B" w14:textId="51297BE9" w:rsidR="0005201B" w:rsidRDefault="0005201B" w:rsidP="00087294">
      <w:pPr>
        <w:ind w:right="102"/>
        <w:jc w:val="both"/>
        <w:rPr>
          <w:rFonts w:asciiTheme="majorHAnsi" w:hAnsiTheme="majorHAnsi" w:cstheme="majorHAnsi"/>
          <w:sz w:val="20"/>
          <w:szCs w:val="20"/>
        </w:rPr>
      </w:pPr>
      <w:r w:rsidRPr="0005201B">
        <w:rPr>
          <w:rFonts w:asciiTheme="majorHAnsi" w:hAnsiTheme="majorHAnsi" w:cstheme="majorHAnsi"/>
          <w:i/>
          <w:iCs/>
          <w:sz w:val="20"/>
          <w:szCs w:val="20"/>
        </w:rPr>
        <w:t>Vakif</w:t>
      </w:r>
      <w:r w:rsidRPr="0005201B">
        <w:rPr>
          <w:rFonts w:asciiTheme="majorHAnsi" w:hAnsiTheme="majorHAnsi" w:cstheme="majorHAnsi"/>
          <w:sz w:val="20"/>
          <w:szCs w:val="20"/>
        </w:rPr>
        <w:t xml:space="preserve"> land institution became one of the important tools to supplement the Palestinian urban structure with many building types from mosques to clinics, schools and shelters. It also provided vast green agricultural land the revenue of which is directed to cover the running costs and maintenance of those buildings. In addition, it provided a family represented a family protection tool through the endowment of its land to the benefit of its generation and protecting it from being sliced among them</w:t>
      </w:r>
      <w:r w:rsidR="001A3B39">
        <w:rPr>
          <w:rFonts w:asciiTheme="majorHAnsi" w:hAnsiTheme="majorHAnsi" w:cstheme="majorHAnsi"/>
          <w:sz w:val="20"/>
          <w:szCs w:val="20"/>
        </w:rPr>
        <w:t xml:space="preserve"> (</w:t>
      </w:r>
      <w:r w:rsidR="001A3B39" w:rsidRPr="003969F0">
        <w:rPr>
          <w:rFonts w:asciiTheme="majorHAnsi" w:hAnsiTheme="majorHAnsi" w:cstheme="majorHAnsi"/>
          <w:sz w:val="20"/>
          <w:szCs w:val="20"/>
        </w:rPr>
        <w:t>Dumper</w:t>
      </w:r>
      <w:r w:rsidR="001A3B39">
        <w:rPr>
          <w:rFonts w:asciiTheme="majorHAnsi" w:hAnsiTheme="majorHAnsi" w:cstheme="majorHAnsi"/>
          <w:sz w:val="20"/>
          <w:szCs w:val="20"/>
        </w:rPr>
        <w:t>, 1992)</w:t>
      </w:r>
      <w:r w:rsidRPr="0005201B">
        <w:rPr>
          <w:rFonts w:asciiTheme="majorHAnsi" w:hAnsiTheme="majorHAnsi" w:cstheme="majorHAnsi"/>
          <w:sz w:val="20"/>
          <w:szCs w:val="20"/>
        </w:rPr>
        <w:t>.</w:t>
      </w:r>
    </w:p>
    <w:p w14:paraId="3F8389F6" w14:textId="345086EC" w:rsidR="000F1933" w:rsidRDefault="000F1933" w:rsidP="00087294">
      <w:pPr>
        <w:ind w:right="102"/>
        <w:jc w:val="both"/>
        <w:rPr>
          <w:rFonts w:asciiTheme="majorHAnsi" w:hAnsiTheme="majorHAnsi" w:cstheme="majorHAnsi"/>
          <w:sz w:val="20"/>
          <w:szCs w:val="20"/>
        </w:rPr>
      </w:pPr>
    </w:p>
    <w:p w14:paraId="1054DC6F" w14:textId="507FC957" w:rsidR="000F1933" w:rsidRDefault="000F1933" w:rsidP="00087294">
      <w:pPr>
        <w:ind w:right="102"/>
        <w:jc w:val="both"/>
        <w:rPr>
          <w:rFonts w:asciiTheme="majorHAnsi" w:hAnsiTheme="majorHAnsi" w:cstheme="majorHAnsi"/>
          <w:sz w:val="20"/>
          <w:szCs w:val="20"/>
        </w:rPr>
      </w:pPr>
      <w:r w:rsidRPr="000F1933">
        <w:rPr>
          <w:rFonts w:asciiTheme="majorHAnsi" w:hAnsiTheme="majorHAnsi" w:cstheme="majorHAnsi"/>
          <w:noProof/>
          <w:sz w:val="20"/>
          <w:szCs w:val="20"/>
          <w:lang w:val="en-US"/>
        </w:rPr>
        <w:drawing>
          <wp:inline distT="0" distB="0" distL="0" distR="0" wp14:anchorId="04FB56BD" wp14:editId="174B9ECE">
            <wp:extent cx="2694942" cy="3534226"/>
            <wp:effectExtent l="19050" t="19050" r="10160" b="2857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2">
                      <a:extLst>
                        <a:ext uri="{28A0092B-C50C-407E-A947-70E740481C1C}">
                          <a14:useLocalDpi xmlns:a14="http://schemas.microsoft.com/office/drawing/2010/main" val="0"/>
                        </a:ext>
                      </a:extLst>
                    </a:blip>
                    <a:srcRect l="1721" t="2079" r="1464" b="1052"/>
                    <a:stretch/>
                  </pic:blipFill>
                  <pic:spPr bwMode="auto">
                    <a:xfrm>
                      <a:off x="0" y="0"/>
                      <a:ext cx="2706747" cy="3549708"/>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4157C7EA" w14:textId="116DE1EF" w:rsidR="000F1933" w:rsidRDefault="000F1933" w:rsidP="000F1933">
      <w:pPr>
        <w:pStyle w:val="FootnoteText"/>
        <w:ind w:hanging="14"/>
        <w:rPr>
          <w:rFonts w:asciiTheme="majorHAnsi" w:eastAsiaTheme="minorEastAsia" w:hAnsiTheme="majorHAnsi" w:cstheme="majorHAnsi"/>
          <w:color w:val="auto"/>
          <w:spacing w:val="0"/>
          <w:w w:val="100"/>
          <w:szCs w:val="20"/>
          <w:lang w:val="tr-TR"/>
        </w:rPr>
      </w:pPr>
      <w:r w:rsidRPr="00607D7E">
        <w:rPr>
          <w:rFonts w:asciiTheme="majorHAnsi" w:eastAsiaTheme="minorEastAsia" w:hAnsiTheme="majorHAnsi" w:cstheme="majorHAnsi"/>
          <w:b/>
          <w:bCs/>
          <w:color w:val="auto"/>
          <w:spacing w:val="0"/>
          <w:w w:val="100"/>
          <w:szCs w:val="20"/>
          <w:lang w:val="tr-TR"/>
        </w:rPr>
        <w:t xml:space="preserve">Figure </w:t>
      </w:r>
      <w:r w:rsidR="00C87F4D">
        <w:rPr>
          <w:rFonts w:asciiTheme="majorHAnsi" w:eastAsiaTheme="minorEastAsia" w:hAnsiTheme="majorHAnsi" w:cstheme="majorHAnsi"/>
          <w:b/>
          <w:bCs/>
          <w:color w:val="auto"/>
          <w:spacing w:val="0"/>
          <w:w w:val="100"/>
          <w:szCs w:val="20"/>
          <w:lang w:val="tr-TR"/>
        </w:rPr>
        <w:t>4</w:t>
      </w:r>
      <w:r w:rsidRPr="00607D7E">
        <w:rPr>
          <w:rFonts w:asciiTheme="majorHAnsi" w:eastAsiaTheme="minorEastAsia" w:hAnsiTheme="majorHAnsi" w:cstheme="majorHAnsi"/>
          <w:b/>
          <w:bCs/>
          <w:color w:val="auto"/>
          <w:spacing w:val="0"/>
          <w:w w:val="100"/>
          <w:szCs w:val="20"/>
          <w:lang w:val="tr-TR"/>
        </w:rPr>
        <w:t>:</w:t>
      </w:r>
      <w:r w:rsidRPr="00607D7E">
        <w:rPr>
          <w:rFonts w:asciiTheme="majorHAnsi" w:eastAsiaTheme="minorEastAsia" w:hAnsiTheme="majorHAnsi" w:cstheme="majorHAnsi"/>
          <w:color w:val="auto"/>
          <w:spacing w:val="0"/>
          <w:w w:val="100"/>
          <w:szCs w:val="20"/>
          <w:lang w:val="tr-TR"/>
        </w:rPr>
        <w:t xml:space="preserve"> </w:t>
      </w:r>
      <w:r>
        <w:rPr>
          <w:rFonts w:asciiTheme="majorHAnsi" w:eastAsiaTheme="minorEastAsia" w:hAnsiTheme="majorHAnsi" w:cstheme="majorHAnsi"/>
          <w:color w:val="auto"/>
          <w:spacing w:val="0"/>
          <w:w w:val="100"/>
          <w:szCs w:val="20"/>
          <w:lang w:val="tr-TR"/>
        </w:rPr>
        <w:t>Land</w:t>
      </w:r>
      <w:r w:rsidRPr="00607D7E">
        <w:rPr>
          <w:rFonts w:asciiTheme="majorHAnsi" w:eastAsiaTheme="minorEastAsia" w:hAnsiTheme="majorHAnsi" w:cstheme="majorHAnsi"/>
          <w:color w:val="auto"/>
          <w:spacing w:val="0"/>
          <w:w w:val="100"/>
          <w:szCs w:val="20"/>
          <w:lang w:val="tr-TR"/>
        </w:rPr>
        <w:t xml:space="preserve"> division</w:t>
      </w:r>
      <w:r>
        <w:rPr>
          <w:rFonts w:asciiTheme="majorHAnsi" w:eastAsiaTheme="minorEastAsia" w:hAnsiTheme="majorHAnsi" w:cstheme="majorHAnsi"/>
          <w:color w:val="auto"/>
          <w:spacing w:val="0"/>
          <w:w w:val="100"/>
          <w:szCs w:val="20"/>
          <w:lang w:val="tr-TR"/>
        </w:rPr>
        <w:t>s</w:t>
      </w:r>
      <w:r w:rsidRPr="00607D7E">
        <w:rPr>
          <w:rFonts w:asciiTheme="majorHAnsi" w:eastAsiaTheme="minorEastAsia" w:hAnsiTheme="majorHAnsi" w:cstheme="majorHAnsi"/>
          <w:color w:val="auto"/>
          <w:spacing w:val="0"/>
          <w:w w:val="100"/>
          <w:szCs w:val="20"/>
          <w:lang w:val="tr-TR"/>
        </w:rPr>
        <w:t xml:space="preserve"> in </w:t>
      </w:r>
      <w:r>
        <w:rPr>
          <w:rFonts w:asciiTheme="majorHAnsi" w:eastAsiaTheme="minorEastAsia" w:hAnsiTheme="majorHAnsi" w:cstheme="majorHAnsi"/>
          <w:color w:val="auto"/>
          <w:spacing w:val="0"/>
          <w:w w:val="100"/>
          <w:szCs w:val="20"/>
          <w:lang w:val="tr-TR"/>
        </w:rPr>
        <w:t>Jaffa in 1878.</w:t>
      </w:r>
    </w:p>
    <w:p w14:paraId="5F9D4009" w14:textId="453783C6" w:rsidR="000F1933" w:rsidRPr="00576549" w:rsidRDefault="000F1933" w:rsidP="000F1933">
      <w:pPr>
        <w:pStyle w:val="FootnoteText"/>
        <w:ind w:hanging="14"/>
        <w:rPr>
          <w:rFonts w:asciiTheme="majorHAnsi" w:eastAsiaTheme="minorEastAsia" w:hAnsiTheme="majorHAnsi" w:cstheme="majorHAnsi"/>
          <w:color w:val="auto"/>
          <w:spacing w:val="0"/>
          <w:w w:val="100"/>
          <w:szCs w:val="20"/>
          <w:lang w:val="tr-TR"/>
        </w:rPr>
      </w:pPr>
      <w:r w:rsidRPr="00576549">
        <w:rPr>
          <w:rFonts w:asciiTheme="majorHAnsi" w:eastAsiaTheme="minorEastAsia" w:hAnsiTheme="majorHAnsi" w:cstheme="majorHAnsi"/>
          <w:b/>
          <w:bCs/>
          <w:color w:val="auto"/>
          <w:spacing w:val="0"/>
          <w:w w:val="100"/>
          <w:szCs w:val="20"/>
          <w:lang w:val="tr-TR"/>
        </w:rPr>
        <w:t>Source:</w:t>
      </w:r>
      <w:r w:rsidRPr="00576549">
        <w:rPr>
          <w:rFonts w:asciiTheme="majorHAnsi" w:eastAsiaTheme="minorEastAsia" w:hAnsiTheme="majorHAnsi" w:cstheme="majorHAnsi"/>
          <w:color w:val="auto"/>
          <w:spacing w:val="0"/>
          <w:w w:val="100"/>
          <w:szCs w:val="20"/>
          <w:lang w:val="tr-TR"/>
        </w:rPr>
        <w:t xml:space="preserve"> </w:t>
      </w:r>
      <w:r w:rsidRPr="000F1933">
        <w:rPr>
          <w:rFonts w:asciiTheme="majorHAnsi" w:eastAsiaTheme="minorEastAsia" w:hAnsiTheme="majorHAnsi" w:cstheme="majorHAnsi"/>
          <w:color w:val="auto"/>
          <w:spacing w:val="0"/>
          <w:w w:val="100"/>
          <w:szCs w:val="20"/>
          <w:lang w:val="tr-TR"/>
        </w:rPr>
        <w:t>Solomonovich and Kark</w:t>
      </w:r>
      <w:r w:rsidRPr="00576549">
        <w:rPr>
          <w:rFonts w:asciiTheme="majorHAnsi" w:eastAsiaTheme="minorEastAsia" w:hAnsiTheme="majorHAnsi" w:cstheme="majorHAnsi"/>
          <w:color w:val="auto"/>
          <w:spacing w:val="0"/>
          <w:w w:val="100"/>
          <w:szCs w:val="20"/>
          <w:lang w:val="tr-TR"/>
        </w:rPr>
        <w:t xml:space="preserve">, </w:t>
      </w:r>
      <w:r>
        <w:rPr>
          <w:rFonts w:asciiTheme="majorHAnsi" w:eastAsiaTheme="minorEastAsia" w:hAnsiTheme="majorHAnsi" w:cstheme="majorHAnsi"/>
          <w:color w:val="auto"/>
          <w:spacing w:val="0"/>
          <w:w w:val="100"/>
          <w:szCs w:val="20"/>
          <w:lang w:val="tr-TR"/>
        </w:rPr>
        <w:t>2015.</w:t>
      </w:r>
    </w:p>
    <w:bookmarkEnd w:id="5"/>
    <w:p w14:paraId="002DBEAE" w14:textId="77777777" w:rsidR="00B313A8" w:rsidRPr="0005201B" w:rsidRDefault="00B313A8" w:rsidP="00087294">
      <w:pPr>
        <w:ind w:right="102"/>
        <w:jc w:val="both"/>
        <w:rPr>
          <w:rFonts w:asciiTheme="majorHAnsi" w:hAnsiTheme="majorHAnsi" w:cstheme="majorHAnsi"/>
          <w:sz w:val="20"/>
          <w:szCs w:val="20"/>
        </w:rPr>
      </w:pPr>
    </w:p>
    <w:p w14:paraId="5991FF1A" w14:textId="77777777" w:rsidR="0005201B" w:rsidRPr="0005201B" w:rsidRDefault="0005201B" w:rsidP="00087294">
      <w:pPr>
        <w:ind w:right="102"/>
        <w:jc w:val="both"/>
        <w:rPr>
          <w:rFonts w:asciiTheme="majorHAnsi" w:hAnsiTheme="majorHAnsi" w:cstheme="majorHAnsi"/>
          <w:b/>
          <w:bCs/>
          <w:sz w:val="20"/>
          <w:szCs w:val="20"/>
        </w:rPr>
      </w:pPr>
      <w:r w:rsidRPr="0005201B">
        <w:rPr>
          <w:rFonts w:asciiTheme="majorHAnsi" w:hAnsiTheme="majorHAnsi" w:cstheme="majorHAnsi"/>
          <w:b/>
          <w:bCs/>
          <w:sz w:val="20"/>
          <w:szCs w:val="20"/>
        </w:rPr>
        <w:t>Conclusion</w:t>
      </w:r>
    </w:p>
    <w:p w14:paraId="4C3A275F" w14:textId="75F8D05B" w:rsidR="0005201B" w:rsidRDefault="0005201B" w:rsidP="00087294">
      <w:pPr>
        <w:ind w:right="102"/>
        <w:jc w:val="both"/>
        <w:rPr>
          <w:rFonts w:asciiTheme="majorHAnsi" w:hAnsiTheme="majorHAnsi" w:cstheme="majorHAnsi"/>
          <w:sz w:val="20"/>
          <w:szCs w:val="20"/>
        </w:rPr>
      </w:pPr>
      <w:r w:rsidRPr="0005201B">
        <w:rPr>
          <w:rFonts w:asciiTheme="majorHAnsi" w:hAnsiTheme="majorHAnsi" w:cstheme="majorHAnsi"/>
          <w:sz w:val="20"/>
          <w:szCs w:val="20"/>
        </w:rPr>
        <w:t xml:space="preserve">the urban planning system in Ottoman Palestine worked through several institutions within the general system of the Ottoman administration. An influential institution which directly related to the urban structures in Palestine was the municipality. Other institutions, from the Sublime Porte to the </w:t>
      </w:r>
      <w:r w:rsidRPr="0005201B">
        <w:rPr>
          <w:rFonts w:asciiTheme="majorHAnsi" w:hAnsiTheme="majorHAnsi" w:cstheme="majorHAnsi"/>
          <w:i/>
          <w:iCs/>
          <w:sz w:val="20"/>
          <w:szCs w:val="20"/>
        </w:rPr>
        <w:t>muhtar</w:t>
      </w:r>
      <w:r w:rsidRPr="0005201B">
        <w:rPr>
          <w:rFonts w:asciiTheme="majorHAnsi" w:hAnsiTheme="majorHAnsi" w:cstheme="majorHAnsi"/>
          <w:sz w:val="20"/>
          <w:szCs w:val="20"/>
        </w:rPr>
        <w:t xml:space="preserve"> of the village, influenced the Palestinian urban structure. At the same time, several tools in the form of laws and regulations related indirectly to the control and management of urban change and development in Palestinian cities, towns and villages. The municipal law for example was strongly affecting the Palestinian urban structures. Unfortunately, other tools in the form of maps and plans were not commonly used by the Ottoman administration in Palestine. One important finding shows that the Ottoman systems referred significantly to several elements of the urban spatial structure. Moreover, the neighborhoods were represented in the administrative system as separate independent identities.  the roads, built up areas, fringes and open land beyond the fringe all were also recognized by the Ottoman land system. However, these systems could not create a formidable and coherent urban planning framework for control and management of urban change and development in Palestinian urban structures. Finally, these systems provided unique and distinguished urban </w:t>
      </w:r>
      <w:r w:rsidRPr="0005201B">
        <w:rPr>
          <w:rFonts w:asciiTheme="majorHAnsi" w:hAnsiTheme="majorHAnsi" w:cstheme="majorHAnsi"/>
          <w:sz w:val="20"/>
          <w:szCs w:val="20"/>
        </w:rPr>
        <w:lastRenderedPageBreak/>
        <w:t xml:space="preserve">management and control frameworks that were significantly advanced and theoretically efficient compared with the general trends and attitudes available outside the Ottoman Empire at that time. </w:t>
      </w:r>
    </w:p>
    <w:p w14:paraId="655E2746" w14:textId="77777777" w:rsidR="00B313A8" w:rsidRPr="0005201B" w:rsidRDefault="00B313A8" w:rsidP="00087294">
      <w:pPr>
        <w:ind w:right="102"/>
        <w:jc w:val="both"/>
        <w:rPr>
          <w:rFonts w:asciiTheme="majorHAnsi" w:hAnsiTheme="majorHAnsi" w:cstheme="majorHAnsi"/>
          <w:sz w:val="20"/>
          <w:szCs w:val="20"/>
        </w:rPr>
      </w:pPr>
    </w:p>
    <w:p w14:paraId="57ADB08D" w14:textId="0A25C082" w:rsidR="00B313A8" w:rsidRPr="00C87F4D" w:rsidRDefault="0005201B" w:rsidP="00C87F4D">
      <w:pPr>
        <w:jc w:val="both"/>
        <w:rPr>
          <w:rFonts w:asciiTheme="majorHAnsi" w:hAnsiTheme="majorHAnsi" w:cstheme="majorHAnsi"/>
          <w:b/>
          <w:color w:val="000000"/>
          <w:sz w:val="20"/>
          <w:szCs w:val="20"/>
        </w:rPr>
      </w:pPr>
      <w:bookmarkStart w:id="6" w:name="_Hlk80786997"/>
      <w:r w:rsidRPr="0005201B">
        <w:rPr>
          <w:rFonts w:asciiTheme="majorHAnsi" w:hAnsiTheme="majorHAnsi" w:cstheme="majorHAnsi"/>
          <w:b/>
          <w:color w:val="000000"/>
          <w:sz w:val="20"/>
          <w:szCs w:val="20"/>
        </w:rPr>
        <w:t>References</w:t>
      </w:r>
      <w:bookmarkEnd w:id="6"/>
    </w:p>
    <w:p w14:paraId="3D5AED3C" w14:textId="640EA172" w:rsidR="00B313A8" w:rsidRPr="0005201B" w:rsidRDefault="00B313A8" w:rsidP="00C87F4D">
      <w:pPr>
        <w:adjustRightInd w:val="0"/>
        <w:rPr>
          <w:rFonts w:asciiTheme="majorHAnsi" w:hAnsiTheme="majorHAnsi" w:cstheme="majorHAnsi"/>
          <w:sz w:val="20"/>
          <w:szCs w:val="20"/>
        </w:rPr>
      </w:pPr>
      <w:r w:rsidRPr="0005201B">
        <w:rPr>
          <w:rFonts w:asciiTheme="majorHAnsi" w:hAnsiTheme="majorHAnsi" w:cstheme="majorHAnsi"/>
          <w:sz w:val="20"/>
          <w:szCs w:val="20"/>
        </w:rPr>
        <w:t>Al-Dabbag, Mustafa</w:t>
      </w:r>
      <w:r>
        <w:rPr>
          <w:rFonts w:asciiTheme="majorHAnsi" w:hAnsiTheme="majorHAnsi" w:cstheme="majorHAnsi"/>
          <w:sz w:val="20"/>
          <w:szCs w:val="20"/>
        </w:rPr>
        <w:t xml:space="preserve">, </w:t>
      </w:r>
      <w:r w:rsidRPr="0005201B">
        <w:rPr>
          <w:rFonts w:asciiTheme="majorHAnsi" w:hAnsiTheme="majorHAnsi" w:cstheme="majorHAnsi"/>
          <w:sz w:val="20"/>
          <w:szCs w:val="20"/>
        </w:rPr>
        <w:t>1982</w:t>
      </w:r>
      <w:r>
        <w:rPr>
          <w:rFonts w:asciiTheme="majorHAnsi" w:hAnsiTheme="majorHAnsi" w:cstheme="majorHAnsi"/>
          <w:sz w:val="20"/>
          <w:szCs w:val="20"/>
        </w:rPr>
        <w:t xml:space="preserve">. </w:t>
      </w:r>
      <w:r w:rsidRPr="0005201B">
        <w:rPr>
          <w:rFonts w:asciiTheme="majorHAnsi" w:hAnsiTheme="majorHAnsi" w:cstheme="majorHAnsi"/>
          <w:i/>
          <w:iCs/>
          <w:sz w:val="20"/>
          <w:szCs w:val="20"/>
        </w:rPr>
        <w:t>Al-Mojaz fi Tarikh Al-duwal Al-Islamiya fi biladina Filistin</w:t>
      </w:r>
      <w:r w:rsidRPr="0005201B">
        <w:rPr>
          <w:rFonts w:asciiTheme="majorHAnsi" w:hAnsiTheme="majorHAnsi" w:cstheme="majorHAnsi"/>
          <w:sz w:val="20"/>
          <w:szCs w:val="20"/>
        </w:rPr>
        <w:t xml:space="preserve"> [A brief history of Islamic states in our country Palestine] Beirut, Dar AI-Tali'ah.</w:t>
      </w:r>
    </w:p>
    <w:p w14:paraId="644BF2BB" w14:textId="48BF158B" w:rsidR="00B313A8" w:rsidRPr="0005201B" w:rsidRDefault="00B313A8" w:rsidP="001A3B39">
      <w:pPr>
        <w:spacing w:before="120"/>
        <w:ind w:right="102"/>
        <w:jc w:val="both"/>
        <w:rPr>
          <w:rFonts w:asciiTheme="majorHAnsi" w:hAnsiTheme="majorHAnsi" w:cstheme="majorHAnsi"/>
          <w:sz w:val="20"/>
          <w:szCs w:val="20"/>
        </w:rPr>
      </w:pPr>
      <w:r w:rsidRPr="0005201B">
        <w:rPr>
          <w:rFonts w:asciiTheme="majorHAnsi" w:hAnsiTheme="majorHAnsi" w:cstheme="majorHAnsi"/>
          <w:sz w:val="20"/>
          <w:szCs w:val="20"/>
        </w:rPr>
        <w:t>Al-Nimr, E</w:t>
      </w:r>
      <w:r>
        <w:rPr>
          <w:rFonts w:asciiTheme="majorHAnsi" w:hAnsiTheme="majorHAnsi" w:cstheme="majorHAnsi"/>
          <w:sz w:val="20"/>
          <w:szCs w:val="20"/>
        </w:rPr>
        <w:t xml:space="preserve">. </w:t>
      </w:r>
      <w:r w:rsidRPr="0005201B">
        <w:rPr>
          <w:rFonts w:asciiTheme="majorHAnsi" w:hAnsiTheme="majorHAnsi" w:cstheme="majorHAnsi"/>
          <w:sz w:val="20"/>
          <w:szCs w:val="20"/>
        </w:rPr>
        <w:t xml:space="preserve">1975. </w:t>
      </w:r>
      <w:r w:rsidRPr="0005201B">
        <w:rPr>
          <w:rFonts w:asciiTheme="majorHAnsi" w:hAnsiTheme="majorHAnsi" w:cstheme="majorHAnsi"/>
          <w:i/>
          <w:iCs/>
          <w:sz w:val="20"/>
          <w:szCs w:val="20"/>
        </w:rPr>
        <w:t>The history of Nablus Mount and the Balka</w:t>
      </w:r>
      <w:r w:rsidRPr="0005201B">
        <w:rPr>
          <w:rFonts w:asciiTheme="majorHAnsi" w:hAnsiTheme="majorHAnsi" w:cstheme="majorHAnsi"/>
          <w:sz w:val="20"/>
          <w:szCs w:val="20"/>
        </w:rPr>
        <w:t>. Nablus, Ehsan Al-Nimr</w:t>
      </w:r>
      <w:r>
        <w:rPr>
          <w:rFonts w:asciiTheme="majorHAnsi" w:hAnsiTheme="majorHAnsi" w:cstheme="majorHAnsi"/>
          <w:sz w:val="20"/>
          <w:szCs w:val="20"/>
        </w:rPr>
        <w:t>.</w:t>
      </w:r>
    </w:p>
    <w:p w14:paraId="50ABEB44" w14:textId="54CC76FF" w:rsidR="00B313A8" w:rsidRPr="0005201B" w:rsidRDefault="00B313A8" w:rsidP="001A3B39">
      <w:pPr>
        <w:adjustRightInd w:val="0"/>
        <w:spacing w:before="120"/>
        <w:rPr>
          <w:rFonts w:asciiTheme="majorHAnsi" w:hAnsiTheme="majorHAnsi" w:cstheme="majorHAnsi"/>
          <w:sz w:val="20"/>
          <w:szCs w:val="20"/>
        </w:rPr>
      </w:pPr>
      <w:r w:rsidRPr="0005201B">
        <w:rPr>
          <w:rFonts w:asciiTheme="majorHAnsi" w:hAnsiTheme="majorHAnsi" w:cstheme="majorHAnsi"/>
          <w:sz w:val="20"/>
          <w:szCs w:val="20"/>
        </w:rPr>
        <w:t>Arraf, Shukri,</w:t>
      </w:r>
      <w:r>
        <w:rPr>
          <w:rFonts w:asciiTheme="majorHAnsi" w:hAnsiTheme="majorHAnsi" w:cstheme="majorHAnsi"/>
          <w:sz w:val="20"/>
          <w:szCs w:val="20"/>
        </w:rPr>
        <w:t xml:space="preserve"> </w:t>
      </w:r>
      <w:r w:rsidRPr="0005201B">
        <w:rPr>
          <w:rFonts w:asciiTheme="majorHAnsi" w:hAnsiTheme="majorHAnsi" w:cstheme="majorHAnsi"/>
          <w:sz w:val="20"/>
          <w:szCs w:val="20"/>
        </w:rPr>
        <w:t xml:space="preserve">1986. </w:t>
      </w:r>
      <w:r w:rsidRPr="0005201B">
        <w:rPr>
          <w:rFonts w:asciiTheme="majorHAnsi" w:hAnsiTheme="majorHAnsi" w:cstheme="majorHAnsi"/>
          <w:i/>
          <w:iCs/>
          <w:sz w:val="20"/>
          <w:szCs w:val="20"/>
        </w:rPr>
        <w:t>Al-Karya Al-Arabiya Al-Filistiniya</w:t>
      </w:r>
      <w:r w:rsidRPr="0005201B">
        <w:rPr>
          <w:rFonts w:asciiTheme="majorHAnsi" w:hAnsiTheme="majorHAnsi" w:cstheme="majorHAnsi"/>
          <w:sz w:val="20"/>
          <w:szCs w:val="20"/>
        </w:rPr>
        <w:t xml:space="preserve"> [The Arab Palestinian village] Jerusalem, Arab Studies Society</w:t>
      </w:r>
      <w:r>
        <w:rPr>
          <w:rFonts w:asciiTheme="majorHAnsi" w:hAnsiTheme="majorHAnsi" w:cstheme="majorHAnsi"/>
          <w:sz w:val="20"/>
          <w:szCs w:val="20"/>
        </w:rPr>
        <w:t>.</w:t>
      </w:r>
    </w:p>
    <w:p w14:paraId="6E6D68CA" w14:textId="202B571D" w:rsidR="00B313A8" w:rsidRDefault="00B313A8" w:rsidP="001A3B39">
      <w:pPr>
        <w:spacing w:before="120"/>
        <w:ind w:right="101"/>
        <w:jc w:val="both"/>
        <w:rPr>
          <w:rStyle w:val="Hyperlink"/>
          <w:rFonts w:asciiTheme="majorHAnsi" w:hAnsiTheme="majorHAnsi" w:cstheme="majorHAnsi"/>
          <w:sz w:val="20"/>
          <w:szCs w:val="20"/>
        </w:rPr>
      </w:pPr>
      <w:r w:rsidRPr="0005201B">
        <w:rPr>
          <w:rFonts w:asciiTheme="majorHAnsi" w:hAnsiTheme="majorHAnsi" w:cstheme="majorHAnsi"/>
          <w:sz w:val="20"/>
          <w:szCs w:val="20"/>
        </w:rPr>
        <w:t>Aytek, Attila,</w:t>
      </w:r>
      <w:r>
        <w:rPr>
          <w:rFonts w:asciiTheme="majorHAnsi" w:hAnsiTheme="majorHAnsi" w:cstheme="majorHAnsi"/>
          <w:sz w:val="20"/>
          <w:szCs w:val="20"/>
        </w:rPr>
        <w:t xml:space="preserve"> </w:t>
      </w:r>
      <w:r w:rsidRPr="0005201B">
        <w:rPr>
          <w:rFonts w:asciiTheme="majorHAnsi" w:hAnsiTheme="majorHAnsi" w:cstheme="majorHAnsi"/>
          <w:sz w:val="20"/>
          <w:szCs w:val="20"/>
        </w:rPr>
        <w:t>2005</w:t>
      </w:r>
      <w:r>
        <w:rPr>
          <w:rFonts w:asciiTheme="majorHAnsi" w:hAnsiTheme="majorHAnsi" w:cstheme="majorHAnsi"/>
          <w:sz w:val="20"/>
          <w:szCs w:val="20"/>
        </w:rPr>
        <w:t>.</w:t>
      </w:r>
      <w:r w:rsidRPr="0005201B">
        <w:rPr>
          <w:rFonts w:asciiTheme="majorHAnsi" w:hAnsiTheme="majorHAnsi" w:cstheme="majorHAnsi"/>
          <w:sz w:val="20"/>
          <w:szCs w:val="20"/>
        </w:rPr>
        <w:t xml:space="preserve"> “Hukuk, Tarih ve Tarihyaz›m›: 1858 Osmanl› Arazi Kanunnamesi’ne Yönelik Yaklafl›mlar”, </w:t>
      </w:r>
      <w:r w:rsidRPr="0005201B">
        <w:rPr>
          <w:rFonts w:asciiTheme="majorHAnsi" w:hAnsiTheme="majorHAnsi" w:cstheme="majorHAnsi"/>
          <w:i/>
          <w:iCs/>
          <w:sz w:val="20"/>
          <w:szCs w:val="20"/>
        </w:rPr>
        <w:t>Türkiye Araştırmalar Literatür Dergisi</w:t>
      </w:r>
      <w:r w:rsidRPr="0005201B">
        <w:rPr>
          <w:rFonts w:asciiTheme="majorHAnsi" w:hAnsiTheme="majorHAnsi" w:cstheme="majorHAnsi"/>
          <w:sz w:val="20"/>
          <w:szCs w:val="20"/>
        </w:rPr>
        <w:t xml:space="preserve">, Cilt 3, Say› 5(2005) 723-744, </w:t>
      </w:r>
      <w:r w:rsidR="0030040E">
        <w:fldChar w:fldCharType="begin"/>
      </w:r>
      <w:r w:rsidR="0030040E">
        <w:instrText xml:space="preserve"> HYPERLINK "https://dergipark.org.tr/tr/download/article-file/652399" </w:instrText>
      </w:r>
      <w:r w:rsidR="0030040E">
        <w:fldChar w:fldCharType="separate"/>
      </w:r>
      <w:r w:rsidRPr="0005201B">
        <w:rPr>
          <w:rStyle w:val="Hyperlink"/>
          <w:rFonts w:asciiTheme="majorHAnsi" w:hAnsiTheme="majorHAnsi" w:cstheme="majorHAnsi"/>
          <w:sz w:val="20"/>
          <w:szCs w:val="20"/>
        </w:rPr>
        <w:t>https://dergipark.org.tr/tr/download/article-file/652399</w:t>
      </w:r>
      <w:r w:rsidR="0030040E">
        <w:rPr>
          <w:rStyle w:val="Hyperlink"/>
          <w:rFonts w:asciiTheme="majorHAnsi" w:hAnsiTheme="majorHAnsi" w:cstheme="majorHAnsi"/>
          <w:sz w:val="20"/>
          <w:szCs w:val="20"/>
        </w:rPr>
        <w:fldChar w:fldCharType="end"/>
      </w:r>
    </w:p>
    <w:p w14:paraId="765A0C75" w14:textId="356EC095" w:rsidR="00B313A8" w:rsidRPr="0005201B" w:rsidRDefault="00B313A8" w:rsidP="001A3B39">
      <w:pPr>
        <w:spacing w:before="120"/>
        <w:ind w:right="102"/>
        <w:jc w:val="both"/>
        <w:rPr>
          <w:rFonts w:asciiTheme="majorHAnsi" w:hAnsiTheme="majorHAnsi" w:cstheme="majorHAnsi"/>
          <w:sz w:val="20"/>
          <w:szCs w:val="20"/>
        </w:rPr>
      </w:pPr>
      <w:r w:rsidRPr="0005201B">
        <w:rPr>
          <w:rFonts w:asciiTheme="majorHAnsi" w:hAnsiTheme="majorHAnsi" w:cstheme="majorHAnsi"/>
          <w:sz w:val="20"/>
          <w:szCs w:val="20"/>
        </w:rPr>
        <w:t>Biger, Gideon</w:t>
      </w:r>
      <w:r>
        <w:rPr>
          <w:rFonts w:asciiTheme="majorHAnsi" w:hAnsiTheme="majorHAnsi" w:cstheme="majorHAnsi"/>
          <w:sz w:val="20"/>
          <w:szCs w:val="20"/>
        </w:rPr>
        <w:t xml:space="preserve">, </w:t>
      </w:r>
      <w:r w:rsidRPr="0005201B">
        <w:rPr>
          <w:rFonts w:asciiTheme="majorHAnsi" w:hAnsiTheme="majorHAnsi" w:cstheme="majorHAnsi"/>
          <w:sz w:val="20"/>
          <w:szCs w:val="20"/>
        </w:rPr>
        <w:t xml:space="preserve">1984. “European influences on town planning and town building In Palestine 1850-1920”. </w:t>
      </w:r>
      <w:r w:rsidRPr="0005201B">
        <w:rPr>
          <w:rFonts w:asciiTheme="majorHAnsi" w:hAnsiTheme="majorHAnsi" w:cstheme="majorHAnsi"/>
          <w:i/>
          <w:iCs/>
          <w:sz w:val="20"/>
          <w:szCs w:val="20"/>
        </w:rPr>
        <w:t>Urbanism; Past and Present</w:t>
      </w:r>
      <w:r w:rsidRPr="0005201B">
        <w:rPr>
          <w:rFonts w:asciiTheme="majorHAnsi" w:hAnsiTheme="majorHAnsi" w:cstheme="majorHAnsi"/>
          <w:sz w:val="20"/>
          <w:szCs w:val="20"/>
        </w:rPr>
        <w:t>, 9 no. 17</w:t>
      </w:r>
      <w:r>
        <w:rPr>
          <w:rFonts w:asciiTheme="majorHAnsi" w:hAnsiTheme="majorHAnsi" w:cstheme="majorHAnsi"/>
          <w:sz w:val="20"/>
          <w:szCs w:val="20"/>
        </w:rPr>
        <w:t xml:space="preserve">, </w:t>
      </w:r>
      <w:r w:rsidRPr="0005201B">
        <w:rPr>
          <w:rFonts w:asciiTheme="majorHAnsi" w:hAnsiTheme="majorHAnsi" w:cstheme="majorHAnsi"/>
          <w:sz w:val="20"/>
          <w:szCs w:val="20"/>
        </w:rPr>
        <w:t>30-35.</w:t>
      </w:r>
    </w:p>
    <w:p w14:paraId="779CE71A" w14:textId="77777777" w:rsidR="00B313A8" w:rsidRPr="0005201B" w:rsidRDefault="00B313A8" w:rsidP="001A3B39">
      <w:pPr>
        <w:pStyle w:val="Default"/>
        <w:spacing w:before="120"/>
        <w:rPr>
          <w:rFonts w:asciiTheme="majorHAnsi" w:hAnsiTheme="majorHAnsi" w:cstheme="majorHAnsi"/>
          <w:sz w:val="20"/>
          <w:szCs w:val="20"/>
        </w:rPr>
      </w:pPr>
      <w:proofErr w:type="spellStart"/>
      <w:r w:rsidRPr="0005201B">
        <w:rPr>
          <w:rFonts w:asciiTheme="majorHAnsi" w:hAnsiTheme="majorHAnsi" w:cstheme="majorHAnsi"/>
          <w:sz w:val="20"/>
          <w:szCs w:val="20"/>
        </w:rPr>
        <w:t>Cin</w:t>
      </w:r>
      <w:proofErr w:type="spellEnd"/>
      <w:r w:rsidRPr="0005201B">
        <w:rPr>
          <w:rFonts w:asciiTheme="majorHAnsi" w:hAnsiTheme="majorHAnsi" w:cstheme="majorHAnsi"/>
          <w:sz w:val="20"/>
          <w:szCs w:val="20"/>
        </w:rPr>
        <w:t xml:space="preserve">, </w:t>
      </w:r>
      <w:proofErr w:type="spellStart"/>
      <w:r w:rsidRPr="0005201B">
        <w:rPr>
          <w:rFonts w:asciiTheme="majorHAnsi" w:hAnsiTheme="majorHAnsi" w:cstheme="majorHAnsi"/>
          <w:sz w:val="20"/>
          <w:szCs w:val="20"/>
        </w:rPr>
        <w:t>Halil</w:t>
      </w:r>
      <w:proofErr w:type="spellEnd"/>
      <w:r w:rsidRPr="0005201B">
        <w:rPr>
          <w:rFonts w:asciiTheme="majorHAnsi" w:hAnsiTheme="majorHAnsi" w:cstheme="majorHAnsi"/>
          <w:sz w:val="20"/>
          <w:szCs w:val="20"/>
        </w:rPr>
        <w:t>, “</w:t>
      </w:r>
      <w:proofErr w:type="spellStart"/>
      <w:r w:rsidRPr="0005201B">
        <w:rPr>
          <w:rFonts w:asciiTheme="majorHAnsi" w:hAnsiTheme="majorHAnsi" w:cstheme="majorHAnsi"/>
          <w:sz w:val="20"/>
          <w:szCs w:val="20"/>
        </w:rPr>
        <w:t>Arazi</w:t>
      </w:r>
      <w:proofErr w:type="spellEnd"/>
      <w:r w:rsidRPr="0005201B">
        <w:rPr>
          <w:rFonts w:asciiTheme="majorHAnsi" w:hAnsiTheme="majorHAnsi" w:cstheme="majorHAnsi"/>
          <w:sz w:val="20"/>
          <w:szCs w:val="20"/>
        </w:rPr>
        <w:t xml:space="preserve">”, Islam </w:t>
      </w:r>
      <w:proofErr w:type="spellStart"/>
      <w:r w:rsidRPr="0005201B">
        <w:rPr>
          <w:rFonts w:asciiTheme="majorHAnsi" w:hAnsiTheme="majorHAnsi" w:cstheme="majorHAnsi"/>
          <w:sz w:val="20"/>
          <w:szCs w:val="20"/>
        </w:rPr>
        <w:t>Ansiklopedesi</w:t>
      </w:r>
      <w:proofErr w:type="spellEnd"/>
      <w:r w:rsidRPr="0005201B">
        <w:rPr>
          <w:rFonts w:asciiTheme="majorHAnsi" w:hAnsiTheme="majorHAnsi" w:cstheme="majorHAnsi"/>
          <w:sz w:val="20"/>
          <w:szCs w:val="20"/>
        </w:rPr>
        <w:t xml:space="preserve">, </w:t>
      </w:r>
      <w:proofErr w:type="spellStart"/>
      <w:r w:rsidRPr="0005201B">
        <w:rPr>
          <w:rFonts w:asciiTheme="majorHAnsi" w:hAnsiTheme="majorHAnsi" w:cstheme="majorHAnsi"/>
          <w:sz w:val="20"/>
          <w:szCs w:val="20"/>
        </w:rPr>
        <w:t>Cilt</w:t>
      </w:r>
      <w:proofErr w:type="spellEnd"/>
      <w:r w:rsidRPr="0005201B">
        <w:rPr>
          <w:rFonts w:asciiTheme="majorHAnsi" w:hAnsiTheme="majorHAnsi" w:cstheme="majorHAnsi"/>
          <w:sz w:val="20"/>
          <w:szCs w:val="20"/>
        </w:rPr>
        <w:t xml:space="preserve"> 3, </w:t>
      </w:r>
      <w:proofErr w:type="spellStart"/>
      <w:r w:rsidRPr="0005201B">
        <w:rPr>
          <w:rFonts w:asciiTheme="majorHAnsi" w:hAnsiTheme="majorHAnsi" w:cstheme="majorHAnsi"/>
          <w:sz w:val="20"/>
          <w:szCs w:val="20"/>
        </w:rPr>
        <w:t>Turkiye</w:t>
      </w:r>
      <w:proofErr w:type="spellEnd"/>
      <w:r w:rsidRPr="0005201B">
        <w:rPr>
          <w:rFonts w:asciiTheme="majorHAnsi" w:hAnsiTheme="majorHAnsi" w:cstheme="majorHAnsi"/>
          <w:sz w:val="20"/>
          <w:szCs w:val="20"/>
        </w:rPr>
        <w:t xml:space="preserve"> </w:t>
      </w:r>
      <w:proofErr w:type="spellStart"/>
      <w:r w:rsidRPr="0005201B">
        <w:rPr>
          <w:rFonts w:asciiTheme="majorHAnsi" w:hAnsiTheme="majorHAnsi" w:cstheme="majorHAnsi"/>
          <w:sz w:val="20"/>
          <w:szCs w:val="20"/>
        </w:rPr>
        <w:t>Diyanet</w:t>
      </w:r>
      <w:proofErr w:type="spellEnd"/>
      <w:r w:rsidRPr="0005201B">
        <w:rPr>
          <w:rFonts w:asciiTheme="majorHAnsi" w:hAnsiTheme="majorHAnsi" w:cstheme="majorHAnsi"/>
          <w:sz w:val="20"/>
          <w:szCs w:val="20"/>
        </w:rPr>
        <w:t xml:space="preserve"> </w:t>
      </w:r>
      <w:proofErr w:type="spellStart"/>
      <w:r w:rsidRPr="0005201B">
        <w:rPr>
          <w:rFonts w:asciiTheme="majorHAnsi" w:hAnsiTheme="majorHAnsi" w:cstheme="majorHAnsi"/>
          <w:sz w:val="20"/>
          <w:szCs w:val="20"/>
        </w:rPr>
        <w:t>Vakfi</w:t>
      </w:r>
      <w:proofErr w:type="spellEnd"/>
      <w:r w:rsidRPr="0005201B">
        <w:rPr>
          <w:rFonts w:asciiTheme="majorHAnsi" w:hAnsiTheme="majorHAnsi" w:cstheme="majorHAnsi"/>
          <w:sz w:val="20"/>
          <w:szCs w:val="20"/>
        </w:rPr>
        <w:t>, accessed August 29, 2021</w:t>
      </w:r>
      <w:r w:rsidRPr="0005201B">
        <w:rPr>
          <w:rFonts w:asciiTheme="majorHAnsi" w:hAnsiTheme="majorHAnsi" w:cstheme="majorHAnsi"/>
          <w:color w:val="656565"/>
          <w:sz w:val="20"/>
          <w:szCs w:val="20"/>
        </w:rPr>
        <w:t xml:space="preserve"> </w:t>
      </w:r>
      <w:hyperlink r:id="rId13" w:history="1">
        <w:r w:rsidRPr="0005201B">
          <w:rPr>
            <w:rStyle w:val="Hyperlink"/>
            <w:rFonts w:asciiTheme="majorHAnsi" w:hAnsiTheme="majorHAnsi" w:cstheme="majorHAnsi"/>
            <w:sz w:val="20"/>
            <w:szCs w:val="20"/>
          </w:rPr>
          <w:t>https://islamansiklopedisi.org.tr/arazi</w:t>
        </w:r>
      </w:hyperlink>
    </w:p>
    <w:p w14:paraId="595AC15C" w14:textId="4123CC5B" w:rsidR="00B313A8" w:rsidRPr="0005201B" w:rsidRDefault="00B313A8" w:rsidP="001A3B39">
      <w:pPr>
        <w:spacing w:before="120"/>
        <w:ind w:right="102"/>
        <w:jc w:val="both"/>
        <w:rPr>
          <w:rFonts w:asciiTheme="majorHAnsi" w:hAnsiTheme="majorHAnsi" w:cstheme="majorHAnsi"/>
          <w:sz w:val="20"/>
          <w:szCs w:val="20"/>
        </w:rPr>
      </w:pPr>
      <w:r w:rsidRPr="0005201B">
        <w:rPr>
          <w:rFonts w:asciiTheme="majorHAnsi" w:hAnsiTheme="majorHAnsi" w:cstheme="majorHAnsi"/>
          <w:sz w:val="20"/>
          <w:szCs w:val="20"/>
        </w:rPr>
        <w:t>Coon, A.</w:t>
      </w:r>
      <w:r w:rsidR="002366A6">
        <w:rPr>
          <w:rFonts w:asciiTheme="majorHAnsi" w:hAnsiTheme="majorHAnsi" w:cstheme="majorHAnsi"/>
          <w:sz w:val="20"/>
          <w:szCs w:val="20"/>
        </w:rPr>
        <w:t xml:space="preserve"> </w:t>
      </w:r>
      <w:r w:rsidR="002366A6" w:rsidRPr="0005201B">
        <w:rPr>
          <w:rFonts w:asciiTheme="majorHAnsi" w:hAnsiTheme="majorHAnsi" w:cstheme="majorHAnsi"/>
          <w:sz w:val="20"/>
          <w:szCs w:val="20"/>
        </w:rPr>
        <w:t>1991</w:t>
      </w:r>
      <w:r w:rsidR="002366A6">
        <w:rPr>
          <w:rFonts w:asciiTheme="majorHAnsi" w:hAnsiTheme="majorHAnsi" w:cstheme="majorHAnsi"/>
          <w:sz w:val="20"/>
          <w:szCs w:val="20"/>
        </w:rPr>
        <w:t>.</w:t>
      </w:r>
      <w:r w:rsidRPr="0005201B">
        <w:rPr>
          <w:rFonts w:asciiTheme="majorHAnsi" w:hAnsiTheme="majorHAnsi" w:cstheme="majorHAnsi"/>
          <w:sz w:val="20"/>
          <w:szCs w:val="20"/>
        </w:rPr>
        <w:t xml:space="preserve"> </w:t>
      </w:r>
      <w:r w:rsidRPr="0005201B">
        <w:rPr>
          <w:rFonts w:asciiTheme="majorHAnsi" w:hAnsiTheme="majorHAnsi" w:cstheme="majorHAnsi"/>
          <w:i/>
          <w:iCs/>
          <w:sz w:val="20"/>
          <w:szCs w:val="20"/>
        </w:rPr>
        <w:t>Urban planning in the West Bank under military occupation</w:t>
      </w:r>
      <w:r w:rsidRPr="0005201B">
        <w:rPr>
          <w:rFonts w:asciiTheme="majorHAnsi" w:hAnsiTheme="majorHAnsi" w:cstheme="majorHAnsi"/>
          <w:sz w:val="20"/>
          <w:szCs w:val="20"/>
        </w:rPr>
        <w:t>, Ramallah, Al-Haq.</w:t>
      </w:r>
    </w:p>
    <w:p w14:paraId="09B8DC70" w14:textId="77777777" w:rsidR="00B313A8" w:rsidRPr="0005201B" w:rsidRDefault="00B313A8" w:rsidP="001A3B39">
      <w:pPr>
        <w:spacing w:before="120"/>
        <w:rPr>
          <w:rFonts w:asciiTheme="majorHAnsi" w:hAnsiTheme="majorHAnsi" w:cstheme="majorHAnsi"/>
          <w:sz w:val="20"/>
          <w:szCs w:val="20"/>
        </w:rPr>
      </w:pPr>
      <w:r w:rsidRPr="00024DC6">
        <w:rPr>
          <w:rFonts w:asciiTheme="majorHAnsi" w:hAnsiTheme="majorHAnsi" w:cstheme="majorHAnsi"/>
          <w:sz w:val="20"/>
          <w:szCs w:val="20"/>
        </w:rPr>
        <w:t xml:space="preserve">Dimitriadis, </w:t>
      </w:r>
      <w:r w:rsidRPr="001A3B39">
        <w:rPr>
          <w:rFonts w:asciiTheme="majorHAnsi" w:hAnsiTheme="majorHAnsi" w:cstheme="majorHAnsi"/>
          <w:sz w:val="20"/>
          <w:szCs w:val="20"/>
        </w:rPr>
        <w:t xml:space="preserve">Sotirios. </w:t>
      </w:r>
      <w:r w:rsidRPr="00024DC6">
        <w:rPr>
          <w:rFonts w:asciiTheme="majorHAnsi" w:hAnsiTheme="majorHAnsi" w:cstheme="majorHAnsi"/>
          <w:sz w:val="20"/>
          <w:szCs w:val="20"/>
        </w:rPr>
        <w:t>2018</w:t>
      </w:r>
      <w:r>
        <w:rPr>
          <w:rFonts w:asciiTheme="majorHAnsi" w:hAnsiTheme="majorHAnsi" w:cstheme="majorHAnsi"/>
          <w:sz w:val="20"/>
          <w:szCs w:val="20"/>
        </w:rPr>
        <w:t xml:space="preserve">. </w:t>
      </w:r>
      <w:r w:rsidRPr="004B5A64">
        <w:rPr>
          <w:rFonts w:asciiTheme="majorHAnsi" w:hAnsiTheme="majorHAnsi" w:cstheme="majorHAnsi"/>
          <w:i/>
          <w:iCs/>
          <w:sz w:val="20"/>
          <w:szCs w:val="20"/>
        </w:rPr>
        <w:t>The Tramway Concession of Jerusalem, 1908–1914: Elite Citizenship, Urban Infrastructure, and the Abortive Modernization of a Late Ottoman City</w:t>
      </w:r>
      <w:r>
        <w:rPr>
          <w:rFonts w:asciiTheme="majorHAnsi" w:hAnsiTheme="majorHAnsi" w:cstheme="majorHAnsi"/>
          <w:i/>
          <w:iCs/>
          <w:sz w:val="20"/>
          <w:szCs w:val="20"/>
        </w:rPr>
        <w:t xml:space="preserve">, </w:t>
      </w:r>
      <w:r w:rsidRPr="004B5A64">
        <w:rPr>
          <w:rFonts w:asciiTheme="majorHAnsi" w:hAnsiTheme="majorHAnsi" w:cstheme="majorHAnsi"/>
          <w:sz w:val="20"/>
          <w:szCs w:val="20"/>
        </w:rPr>
        <w:t>In,</w:t>
      </w:r>
      <w:r>
        <w:rPr>
          <w:rFonts w:asciiTheme="majorHAnsi" w:hAnsiTheme="majorHAnsi" w:cstheme="majorHAnsi"/>
          <w:i/>
          <w:iCs/>
          <w:sz w:val="20"/>
          <w:szCs w:val="20"/>
        </w:rPr>
        <w:t xml:space="preserve">  </w:t>
      </w:r>
      <w:r w:rsidRPr="001A3B39">
        <w:rPr>
          <w:rFonts w:asciiTheme="majorHAnsi" w:hAnsiTheme="majorHAnsi" w:cstheme="majorHAnsi"/>
          <w:i/>
          <w:iCs/>
          <w:sz w:val="20"/>
          <w:szCs w:val="20"/>
        </w:rPr>
        <w:t>Ordinary Jerusalem, 1840-1940: Opening New Archives, Revisiting a Global City.</w:t>
      </w:r>
      <w:r>
        <w:t xml:space="preserve"> </w:t>
      </w:r>
      <w:r w:rsidRPr="001A3B39">
        <w:rPr>
          <w:rFonts w:asciiTheme="majorHAnsi" w:hAnsiTheme="majorHAnsi" w:cstheme="majorHAnsi"/>
          <w:sz w:val="20"/>
          <w:szCs w:val="20"/>
        </w:rPr>
        <w:t>Edited byAngelos Dalachanis and Vincent Lemire, Leiden</w:t>
      </w:r>
      <w:r>
        <w:rPr>
          <w:rFonts w:asciiTheme="majorHAnsi" w:hAnsiTheme="majorHAnsi" w:cstheme="majorHAnsi"/>
          <w:sz w:val="20"/>
          <w:szCs w:val="20"/>
        </w:rPr>
        <w:t xml:space="preserve">, </w:t>
      </w:r>
      <w:r w:rsidRPr="001A3B39">
        <w:rPr>
          <w:rFonts w:asciiTheme="majorHAnsi" w:hAnsiTheme="majorHAnsi" w:cstheme="majorHAnsi"/>
          <w:sz w:val="20"/>
          <w:szCs w:val="20"/>
        </w:rPr>
        <w:t xml:space="preserve">Brill, 2018. </w:t>
      </w:r>
    </w:p>
    <w:p w14:paraId="13ED6B63" w14:textId="7DD0AD97" w:rsidR="00B313A8" w:rsidRPr="0005201B" w:rsidRDefault="00B313A8" w:rsidP="001A3B39">
      <w:pPr>
        <w:spacing w:before="120"/>
        <w:ind w:right="102"/>
        <w:jc w:val="both"/>
        <w:rPr>
          <w:rFonts w:asciiTheme="majorHAnsi" w:hAnsiTheme="majorHAnsi" w:cstheme="majorHAnsi"/>
          <w:sz w:val="20"/>
          <w:szCs w:val="20"/>
        </w:rPr>
      </w:pPr>
      <w:r w:rsidRPr="0005201B">
        <w:rPr>
          <w:rFonts w:asciiTheme="majorHAnsi" w:hAnsiTheme="majorHAnsi" w:cstheme="majorHAnsi"/>
          <w:sz w:val="20"/>
          <w:szCs w:val="20"/>
        </w:rPr>
        <w:t xml:space="preserve">Dumper, Michle Dumper, </w:t>
      </w:r>
      <w:r w:rsidR="002366A6" w:rsidRPr="0005201B">
        <w:rPr>
          <w:rFonts w:asciiTheme="majorHAnsi" w:hAnsiTheme="majorHAnsi" w:cstheme="majorHAnsi"/>
          <w:sz w:val="20"/>
          <w:szCs w:val="20"/>
        </w:rPr>
        <w:t>1994</w:t>
      </w:r>
      <w:r w:rsidR="002366A6">
        <w:rPr>
          <w:rFonts w:asciiTheme="majorHAnsi" w:hAnsiTheme="majorHAnsi" w:cstheme="majorHAnsi"/>
          <w:sz w:val="20"/>
          <w:szCs w:val="20"/>
        </w:rPr>
        <w:t xml:space="preserve">. </w:t>
      </w:r>
      <w:r w:rsidRPr="0005201B">
        <w:rPr>
          <w:rFonts w:asciiTheme="majorHAnsi" w:hAnsiTheme="majorHAnsi" w:cstheme="majorHAnsi"/>
          <w:i/>
          <w:iCs/>
          <w:sz w:val="20"/>
          <w:szCs w:val="20"/>
        </w:rPr>
        <w:t xml:space="preserve">Islam and Israel: Muslim Religious Endowments and the Jewish State, </w:t>
      </w:r>
      <w:r w:rsidRPr="0005201B">
        <w:rPr>
          <w:rFonts w:asciiTheme="majorHAnsi" w:hAnsiTheme="majorHAnsi" w:cstheme="majorHAnsi"/>
          <w:sz w:val="20"/>
          <w:szCs w:val="20"/>
        </w:rPr>
        <w:t>Beirut, Institute for Palestinian Studies.</w:t>
      </w:r>
    </w:p>
    <w:p w14:paraId="163D7F5F" w14:textId="090CBA2C" w:rsidR="00B313A8" w:rsidRPr="0005201B" w:rsidRDefault="00B313A8" w:rsidP="00CE1678">
      <w:pPr>
        <w:spacing w:before="120"/>
        <w:ind w:right="102"/>
        <w:jc w:val="both"/>
        <w:rPr>
          <w:rFonts w:asciiTheme="majorHAnsi" w:hAnsiTheme="majorHAnsi" w:cstheme="majorHAnsi"/>
          <w:sz w:val="20"/>
          <w:szCs w:val="20"/>
        </w:rPr>
      </w:pPr>
      <w:r w:rsidRPr="0005201B">
        <w:rPr>
          <w:rFonts w:asciiTheme="majorHAnsi" w:hAnsiTheme="majorHAnsi" w:cstheme="majorHAnsi"/>
          <w:sz w:val="20"/>
          <w:szCs w:val="20"/>
        </w:rPr>
        <w:t>Eisenman, Robert H</w:t>
      </w:r>
      <w:r w:rsidR="00CE1678">
        <w:rPr>
          <w:rFonts w:asciiTheme="majorHAnsi" w:hAnsiTheme="majorHAnsi" w:cstheme="majorHAnsi"/>
          <w:sz w:val="20"/>
          <w:szCs w:val="20"/>
        </w:rPr>
        <w:t xml:space="preserve">, </w:t>
      </w:r>
      <w:r w:rsidR="00CE1678" w:rsidRPr="0005201B">
        <w:rPr>
          <w:rFonts w:asciiTheme="majorHAnsi" w:hAnsiTheme="majorHAnsi" w:cstheme="majorHAnsi"/>
          <w:sz w:val="20"/>
          <w:szCs w:val="20"/>
        </w:rPr>
        <w:t>1979.</w:t>
      </w:r>
      <w:r w:rsidRPr="0005201B">
        <w:rPr>
          <w:rFonts w:asciiTheme="majorHAnsi" w:hAnsiTheme="majorHAnsi" w:cstheme="majorHAnsi"/>
          <w:sz w:val="20"/>
          <w:szCs w:val="20"/>
        </w:rPr>
        <w:t xml:space="preserve"> </w:t>
      </w:r>
      <w:r w:rsidRPr="0005201B">
        <w:rPr>
          <w:rFonts w:asciiTheme="majorHAnsi" w:hAnsiTheme="majorHAnsi" w:cstheme="majorHAnsi"/>
          <w:i/>
          <w:iCs/>
          <w:sz w:val="20"/>
          <w:szCs w:val="20"/>
        </w:rPr>
        <w:t>Islamic Law in Palestine and Israel</w:t>
      </w:r>
      <w:r w:rsidRPr="0005201B">
        <w:rPr>
          <w:rFonts w:asciiTheme="majorHAnsi" w:hAnsiTheme="majorHAnsi" w:cstheme="majorHAnsi"/>
          <w:sz w:val="20"/>
          <w:szCs w:val="20"/>
        </w:rPr>
        <w:t>. Leiden, E. J. Brill</w:t>
      </w:r>
      <w:r w:rsidR="00CE1678">
        <w:rPr>
          <w:rFonts w:asciiTheme="majorHAnsi" w:hAnsiTheme="majorHAnsi" w:cstheme="majorHAnsi"/>
          <w:sz w:val="20"/>
          <w:szCs w:val="20"/>
        </w:rPr>
        <w:t>.</w:t>
      </w:r>
    </w:p>
    <w:p w14:paraId="504C2126" w14:textId="0C994C05" w:rsidR="00B313A8" w:rsidRPr="0005201B" w:rsidRDefault="00B313A8" w:rsidP="00CE1678">
      <w:pPr>
        <w:spacing w:before="120"/>
        <w:ind w:right="102"/>
        <w:jc w:val="both"/>
        <w:rPr>
          <w:rFonts w:asciiTheme="majorHAnsi" w:hAnsiTheme="majorHAnsi" w:cstheme="majorHAnsi"/>
          <w:sz w:val="20"/>
          <w:szCs w:val="20"/>
        </w:rPr>
      </w:pPr>
      <w:r w:rsidRPr="0005201B">
        <w:rPr>
          <w:rFonts w:asciiTheme="majorHAnsi" w:hAnsiTheme="majorHAnsi" w:cstheme="majorHAnsi"/>
          <w:sz w:val="20"/>
          <w:szCs w:val="20"/>
        </w:rPr>
        <w:t>El -Nahal, Galal H</w:t>
      </w:r>
      <w:r w:rsidR="00CE1678">
        <w:rPr>
          <w:rFonts w:asciiTheme="majorHAnsi" w:hAnsiTheme="majorHAnsi" w:cstheme="majorHAnsi"/>
          <w:sz w:val="20"/>
          <w:szCs w:val="20"/>
        </w:rPr>
        <w:t xml:space="preserve">, </w:t>
      </w:r>
      <w:r w:rsidR="00CE1678" w:rsidRPr="0005201B">
        <w:rPr>
          <w:rFonts w:asciiTheme="majorHAnsi" w:hAnsiTheme="majorHAnsi" w:cstheme="majorHAnsi"/>
          <w:sz w:val="20"/>
          <w:szCs w:val="20"/>
        </w:rPr>
        <w:t>1979.</w:t>
      </w:r>
      <w:r w:rsidR="00CE1678">
        <w:rPr>
          <w:rFonts w:asciiTheme="majorHAnsi" w:hAnsiTheme="majorHAnsi" w:cstheme="majorHAnsi"/>
          <w:sz w:val="20"/>
          <w:szCs w:val="20"/>
        </w:rPr>
        <w:t xml:space="preserve"> </w:t>
      </w:r>
      <w:r w:rsidRPr="0005201B">
        <w:rPr>
          <w:rFonts w:asciiTheme="majorHAnsi" w:hAnsiTheme="majorHAnsi" w:cstheme="majorHAnsi"/>
          <w:i/>
          <w:iCs/>
          <w:sz w:val="20"/>
          <w:szCs w:val="20"/>
        </w:rPr>
        <w:t>The Judicial administration of Ottoman Egypt in the seventeenth century</w:t>
      </w:r>
      <w:r w:rsidRPr="0005201B">
        <w:rPr>
          <w:rFonts w:asciiTheme="majorHAnsi" w:hAnsiTheme="majorHAnsi" w:cstheme="majorHAnsi"/>
          <w:sz w:val="20"/>
          <w:szCs w:val="20"/>
        </w:rPr>
        <w:t>. Chicago, Bibliotheca Islamica</w:t>
      </w:r>
      <w:r w:rsidR="00CE1678">
        <w:rPr>
          <w:rFonts w:asciiTheme="majorHAnsi" w:hAnsiTheme="majorHAnsi" w:cstheme="majorHAnsi"/>
          <w:sz w:val="20"/>
          <w:szCs w:val="20"/>
        </w:rPr>
        <w:t>.</w:t>
      </w:r>
    </w:p>
    <w:p w14:paraId="13A08D24" w14:textId="651D6F2D" w:rsidR="00B313A8" w:rsidRPr="0005201B" w:rsidRDefault="00B313A8" w:rsidP="00CE1678">
      <w:pPr>
        <w:spacing w:before="120"/>
        <w:ind w:right="102"/>
        <w:jc w:val="both"/>
        <w:rPr>
          <w:rFonts w:asciiTheme="majorHAnsi" w:hAnsiTheme="majorHAnsi" w:cstheme="majorHAnsi"/>
          <w:sz w:val="20"/>
          <w:szCs w:val="20"/>
        </w:rPr>
      </w:pPr>
      <w:r w:rsidRPr="0005201B">
        <w:rPr>
          <w:rFonts w:asciiTheme="majorHAnsi" w:hAnsiTheme="majorHAnsi" w:cstheme="majorHAnsi"/>
          <w:sz w:val="20"/>
          <w:szCs w:val="20"/>
        </w:rPr>
        <w:t>Findley, C. V</w:t>
      </w:r>
      <w:r w:rsidR="00CE1678">
        <w:rPr>
          <w:rFonts w:asciiTheme="majorHAnsi" w:hAnsiTheme="majorHAnsi" w:cstheme="majorHAnsi"/>
          <w:sz w:val="20"/>
          <w:szCs w:val="20"/>
        </w:rPr>
        <w:t xml:space="preserve">., </w:t>
      </w:r>
      <w:r w:rsidR="00CE1678" w:rsidRPr="0005201B">
        <w:rPr>
          <w:rFonts w:asciiTheme="majorHAnsi" w:hAnsiTheme="majorHAnsi" w:cstheme="majorHAnsi"/>
          <w:sz w:val="20"/>
          <w:szCs w:val="20"/>
        </w:rPr>
        <w:t>1986.</w:t>
      </w:r>
      <w:r w:rsidRPr="0005201B">
        <w:rPr>
          <w:rFonts w:asciiTheme="majorHAnsi" w:hAnsiTheme="majorHAnsi" w:cstheme="majorHAnsi"/>
          <w:sz w:val="20"/>
          <w:szCs w:val="20"/>
        </w:rPr>
        <w:t xml:space="preserve"> </w:t>
      </w:r>
      <w:r w:rsidRPr="0005201B">
        <w:rPr>
          <w:rFonts w:asciiTheme="majorHAnsi" w:hAnsiTheme="majorHAnsi" w:cstheme="majorHAnsi"/>
          <w:i/>
          <w:iCs/>
          <w:sz w:val="20"/>
          <w:szCs w:val="20"/>
        </w:rPr>
        <w:t>The evolution of the system of provincial administration as viewed from the center.</w:t>
      </w:r>
      <w:r w:rsidRPr="0005201B">
        <w:rPr>
          <w:rFonts w:asciiTheme="majorHAnsi" w:hAnsiTheme="majorHAnsi" w:cstheme="majorHAnsi"/>
          <w:sz w:val="20"/>
          <w:szCs w:val="20"/>
        </w:rPr>
        <w:t xml:space="preserve"> in </w:t>
      </w:r>
      <w:r w:rsidRPr="0005201B">
        <w:rPr>
          <w:rFonts w:asciiTheme="majorHAnsi" w:hAnsiTheme="majorHAnsi" w:cstheme="majorHAnsi"/>
          <w:i/>
          <w:iCs/>
          <w:sz w:val="20"/>
          <w:szCs w:val="20"/>
        </w:rPr>
        <w:t xml:space="preserve">Palestine in the late Ottoman period: political, social and economic transformation, </w:t>
      </w:r>
      <w:r w:rsidRPr="0005201B">
        <w:rPr>
          <w:rFonts w:asciiTheme="majorHAnsi" w:hAnsiTheme="majorHAnsi" w:cstheme="majorHAnsi"/>
          <w:sz w:val="20"/>
          <w:szCs w:val="20"/>
        </w:rPr>
        <w:t>edited by David Kushner</w:t>
      </w:r>
      <w:r>
        <w:rPr>
          <w:rFonts w:asciiTheme="majorHAnsi" w:hAnsiTheme="majorHAnsi" w:cstheme="majorHAnsi"/>
          <w:sz w:val="20"/>
          <w:szCs w:val="20"/>
        </w:rPr>
        <w:t>,</w:t>
      </w:r>
      <w:r w:rsidRPr="0005201B">
        <w:rPr>
          <w:rFonts w:asciiTheme="majorHAnsi" w:hAnsiTheme="majorHAnsi" w:cstheme="majorHAnsi"/>
          <w:sz w:val="20"/>
          <w:szCs w:val="20"/>
        </w:rPr>
        <w:t xml:space="preserve"> Jerusalem, Yad Izhak Ben-Zui Press</w:t>
      </w:r>
      <w:r w:rsidR="00CE1678">
        <w:rPr>
          <w:rFonts w:asciiTheme="majorHAnsi" w:hAnsiTheme="majorHAnsi" w:cstheme="majorHAnsi"/>
          <w:sz w:val="20"/>
          <w:szCs w:val="20"/>
        </w:rPr>
        <w:t>.</w:t>
      </w:r>
    </w:p>
    <w:p w14:paraId="11536BDB" w14:textId="68314B5E" w:rsidR="00B313A8" w:rsidRDefault="00B313A8" w:rsidP="00CE1678">
      <w:pPr>
        <w:spacing w:before="120"/>
        <w:ind w:right="102"/>
        <w:jc w:val="both"/>
        <w:rPr>
          <w:rFonts w:asciiTheme="majorHAnsi" w:hAnsiTheme="majorHAnsi" w:cstheme="majorHAnsi"/>
          <w:sz w:val="20"/>
          <w:szCs w:val="20"/>
        </w:rPr>
      </w:pPr>
      <w:r w:rsidRPr="0005201B">
        <w:rPr>
          <w:rFonts w:asciiTheme="majorHAnsi" w:hAnsiTheme="majorHAnsi" w:cstheme="majorHAnsi"/>
          <w:sz w:val="20"/>
          <w:szCs w:val="20"/>
        </w:rPr>
        <w:t xml:space="preserve">Gerber, H. </w:t>
      </w:r>
      <w:r w:rsidR="00CE1678" w:rsidRPr="0005201B">
        <w:rPr>
          <w:rFonts w:asciiTheme="majorHAnsi" w:hAnsiTheme="majorHAnsi" w:cstheme="majorHAnsi"/>
          <w:sz w:val="20"/>
          <w:szCs w:val="20"/>
        </w:rPr>
        <w:t>1986.</w:t>
      </w:r>
      <w:r w:rsidR="00CE1678">
        <w:rPr>
          <w:rFonts w:asciiTheme="majorHAnsi" w:hAnsiTheme="majorHAnsi" w:cstheme="majorHAnsi"/>
          <w:sz w:val="20"/>
          <w:szCs w:val="20"/>
        </w:rPr>
        <w:t xml:space="preserve"> </w:t>
      </w:r>
      <w:r w:rsidRPr="0005201B">
        <w:rPr>
          <w:rFonts w:asciiTheme="majorHAnsi" w:hAnsiTheme="majorHAnsi" w:cstheme="majorHAnsi"/>
          <w:i/>
          <w:iCs/>
          <w:sz w:val="20"/>
          <w:szCs w:val="20"/>
        </w:rPr>
        <w:t>A new look at the Tanzemat: the case of the province of Jerusalem</w:t>
      </w:r>
      <w:r w:rsidRPr="0005201B">
        <w:rPr>
          <w:rFonts w:asciiTheme="majorHAnsi" w:hAnsiTheme="majorHAnsi" w:cstheme="majorHAnsi"/>
          <w:sz w:val="20"/>
          <w:szCs w:val="20"/>
        </w:rPr>
        <w:t xml:space="preserve">. in </w:t>
      </w:r>
      <w:r w:rsidRPr="0005201B">
        <w:rPr>
          <w:rFonts w:asciiTheme="majorHAnsi" w:hAnsiTheme="majorHAnsi" w:cstheme="majorHAnsi"/>
          <w:i/>
          <w:iCs/>
          <w:sz w:val="20"/>
          <w:szCs w:val="20"/>
        </w:rPr>
        <w:t xml:space="preserve">Palestine in the late Ottoman period: political, social and economic transformation, </w:t>
      </w:r>
      <w:r w:rsidRPr="0005201B">
        <w:rPr>
          <w:rFonts w:asciiTheme="majorHAnsi" w:hAnsiTheme="majorHAnsi" w:cstheme="majorHAnsi"/>
          <w:sz w:val="20"/>
          <w:szCs w:val="20"/>
        </w:rPr>
        <w:t>edited by David Kushner Jerusalem, Yad Izhak Ben-Zui Press</w:t>
      </w:r>
      <w:r w:rsidR="00CE1678">
        <w:rPr>
          <w:rFonts w:asciiTheme="majorHAnsi" w:hAnsiTheme="majorHAnsi" w:cstheme="majorHAnsi"/>
          <w:sz w:val="20"/>
          <w:szCs w:val="20"/>
        </w:rPr>
        <w:t>.</w:t>
      </w:r>
    </w:p>
    <w:p w14:paraId="485D78DD" w14:textId="1ED58B90" w:rsidR="00B313A8" w:rsidRDefault="00B313A8" w:rsidP="001A3B39">
      <w:pPr>
        <w:spacing w:before="120"/>
        <w:ind w:right="102"/>
        <w:jc w:val="both"/>
        <w:rPr>
          <w:rFonts w:asciiTheme="majorHAnsi" w:hAnsiTheme="majorHAnsi" w:cstheme="majorHAnsi"/>
          <w:sz w:val="20"/>
          <w:szCs w:val="20"/>
        </w:rPr>
      </w:pPr>
      <w:r w:rsidRPr="009C2FF6">
        <w:rPr>
          <w:rFonts w:asciiTheme="majorHAnsi" w:hAnsiTheme="majorHAnsi" w:cstheme="majorHAnsi"/>
          <w:sz w:val="20"/>
          <w:szCs w:val="20"/>
        </w:rPr>
        <w:t>Gıdeon Bıger, 2013</w:t>
      </w:r>
      <w:r w:rsidR="00CE1678">
        <w:rPr>
          <w:rFonts w:asciiTheme="majorHAnsi" w:hAnsiTheme="majorHAnsi" w:cstheme="majorHAnsi"/>
          <w:sz w:val="20"/>
          <w:szCs w:val="20"/>
        </w:rPr>
        <w:t>.</w:t>
      </w:r>
      <w:r>
        <w:rPr>
          <w:rFonts w:asciiTheme="majorHAnsi" w:hAnsiTheme="majorHAnsi" w:cstheme="majorHAnsi"/>
          <w:sz w:val="20"/>
          <w:szCs w:val="20"/>
        </w:rPr>
        <w:t xml:space="preserve"> </w:t>
      </w:r>
      <w:r w:rsidRPr="000228AD">
        <w:rPr>
          <w:rFonts w:asciiTheme="majorHAnsi" w:hAnsiTheme="majorHAnsi" w:cstheme="majorHAnsi"/>
          <w:i/>
          <w:iCs/>
          <w:sz w:val="20"/>
          <w:szCs w:val="20"/>
        </w:rPr>
        <w:t>Ottoman Town Planning in Late 19th and Early 20th Century Palestine</w:t>
      </w:r>
      <w:r>
        <w:rPr>
          <w:rFonts w:asciiTheme="majorHAnsi" w:hAnsiTheme="majorHAnsi" w:cstheme="majorHAnsi"/>
          <w:sz w:val="20"/>
          <w:szCs w:val="20"/>
        </w:rPr>
        <w:t xml:space="preserve">, </w:t>
      </w:r>
      <w:r w:rsidRPr="009C2FF6">
        <w:rPr>
          <w:rFonts w:asciiTheme="majorHAnsi" w:hAnsiTheme="majorHAnsi" w:cstheme="majorHAnsi"/>
          <w:sz w:val="20"/>
          <w:szCs w:val="20"/>
        </w:rPr>
        <w:t>3rd International Geography Symposium - GEOMED 2013</w:t>
      </w:r>
      <w:r>
        <w:rPr>
          <w:rFonts w:asciiTheme="majorHAnsi" w:hAnsiTheme="majorHAnsi" w:cstheme="majorHAnsi"/>
          <w:sz w:val="20"/>
          <w:szCs w:val="20"/>
        </w:rPr>
        <w:t>, Antalya, Turkey.</w:t>
      </w:r>
    </w:p>
    <w:p w14:paraId="44F29AFD" w14:textId="61F185DA" w:rsidR="00B313A8" w:rsidRPr="0005201B" w:rsidRDefault="00B313A8" w:rsidP="00CE1678">
      <w:pPr>
        <w:spacing w:before="120"/>
        <w:ind w:right="102"/>
        <w:jc w:val="both"/>
        <w:rPr>
          <w:rFonts w:asciiTheme="majorHAnsi" w:hAnsiTheme="majorHAnsi" w:cstheme="majorHAnsi"/>
          <w:sz w:val="20"/>
          <w:szCs w:val="20"/>
        </w:rPr>
      </w:pPr>
      <w:r w:rsidRPr="0005201B">
        <w:rPr>
          <w:rFonts w:asciiTheme="majorHAnsi" w:hAnsiTheme="majorHAnsi" w:cstheme="majorHAnsi"/>
          <w:sz w:val="20"/>
          <w:szCs w:val="20"/>
        </w:rPr>
        <w:t xml:space="preserve">Goadby, Frederic and Moses Daukhan, </w:t>
      </w:r>
      <w:r w:rsidR="00CE1678" w:rsidRPr="0005201B">
        <w:rPr>
          <w:rFonts w:asciiTheme="majorHAnsi" w:hAnsiTheme="majorHAnsi" w:cstheme="majorHAnsi"/>
          <w:sz w:val="20"/>
          <w:szCs w:val="20"/>
        </w:rPr>
        <w:t>1935.</w:t>
      </w:r>
      <w:r w:rsidR="00CE1678">
        <w:rPr>
          <w:rFonts w:asciiTheme="majorHAnsi" w:hAnsiTheme="majorHAnsi" w:cstheme="majorHAnsi"/>
          <w:sz w:val="20"/>
          <w:szCs w:val="20"/>
        </w:rPr>
        <w:t xml:space="preserve"> </w:t>
      </w:r>
      <w:r w:rsidRPr="0005201B">
        <w:rPr>
          <w:rFonts w:asciiTheme="majorHAnsi" w:hAnsiTheme="majorHAnsi" w:cstheme="majorHAnsi"/>
          <w:i/>
          <w:iCs/>
          <w:sz w:val="20"/>
          <w:szCs w:val="20"/>
        </w:rPr>
        <w:t>The Land Law of Palestine</w:t>
      </w:r>
      <w:r w:rsidRPr="0005201B">
        <w:rPr>
          <w:rFonts w:asciiTheme="majorHAnsi" w:hAnsiTheme="majorHAnsi" w:cstheme="majorHAnsi"/>
          <w:sz w:val="20"/>
          <w:szCs w:val="20"/>
        </w:rPr>
        <w:t>, Tel-Aviv, Palestine</w:t>
      </w:r>
      <w:r w:rsidR="00CE1678">
        <w:rPr>
          <w:rFonts w:asciiTheme="majorHAnsi" w:hAnsiTheme="majorHAnsi" w:cstheme="majorHAnsi"/>
          <w:sz w:val="20"/>
          <w:szCs w:val="20"/>
        </w:rPr>
        <w:t>.</w:t>
      </w:r>
    </w:p>
    <w:p w14:paraId="2A30BA8C" w14:textId="70317E93" w:rsidR="00B313A8" w:rsidRPr="0005201B" w:rsidRDefault="00B313A8" w:rsidP="00CE1678">
      <w:pPr>
        <w:spacing w:before="120"/>
        <w:ind w:right="102"/>
        <w:jc w:val="both"/>
        <w:rPr>
          <w:rFonts w:asciiTheme="majorHAnsi" w:hAnsiTheme="majorHAnsi" w:cstheme="majorHAnsi"/>
          <w:sz w:val="20"/>
          <w:szCs w:val="20"/>
        </w:rPr>
      </w:pPr>
      <w:r w:rsidRPr="0005201B">
        <w:rPr>
          <w:rFonts w:asciiTheme="majorHAnsi" w:hAnsiTheme="majorHAnsi" w:cstheme="majorHAnsi"/>
          <w:sz w:val="20"/>
          <w:szCs w:val="20"/>
        </w:rPr>
        <w:t xml:space="preserve">Graham, G. </w:t>
      </w:r>
      <w:r w:rsidRPr="0005201B">
        <w:rPr>
          <w:rFonts w:asciiTheme="majorHAnsi" w:hAnsiTheme="majorHAnsi" w:cstheme="majorHAnsi"/>
          <w:i/>
          <w:iCs/>
          <w:sz w:val="20"/>
          <w:szCs w:val="20"/>
        </w:rPr>
        <w:t>Politics in its place</w:t>
      </w:r>
      <w:r w:rsidR="00CE1678">
        <w:rPr>
          <w:rFonts w:asciiTheme="majorHAnsi" w:hAnsiTheme="majorHAnsi" w:cstheme="majorHAnsi"/>
          <w:i/>
          <w:iCs/>
          <w:sz w:val="20"/>
          <w:szCs w:val="20"/>
        </w:rPr>
        <w:t xml:space="preserve"> </w:t>
      </w:r>
      <w:r w:rsidR="00CE1678" w:rsidRPr="0005201B">
        <w:rPr>
          <w:rFonts w:asciiTheme="majorHAnsi" w:hAnsiTheme="majorHAnsi" w:cstheme="majorHAnsi"/>
          <w:sz w:val="20"/>
          <w:szCs w:val="20"/>
        </w:rPr>
        <w:t>1986.</w:t>
      </w:r>
      <w:r w:rsidRPr="0005201B">
        <w:rPr>
          <w:rFonts w:asciiTheme="majorHAnsi" w:hAnsiTheme="majorHAnsi" w:cstheme="majorHAnsi"/>
          <w:sz w:val="20"/>
          <w:szCs w:val="20"/>
        </w:rPr>
        <w:t xml:space="preserve"> Oxford, Caledonian Press</w:t>
      </w:r>
      <w:r w:rsidR="00CE1678">
        <w:rPr>
          <w:rFonts w:asciiTheme="majorHAnsi" w:hAnsiTheme="majorHAnsi" w:cstheme="majorHAnsi"/>
          <w:sz w:val="20"/>
          <w:szCs w:val="20"/>
        </w:rPr>
        <w:t>.</w:t>
      </w:r>
    </w:p>
    <w:p w14:paraId="2A715026" w14:textId="651A5C43" w:rsidR="00B313A8" w:rsidRPr="0005201B" w:rsidRDefault="00B313A8" w:rsidP="001A3B39">
      <w:pPr>
        <w:spacing w:before="120"/>
        <w:ind w:right="102"/>
        <w:jc w:val="both"/>
        <w:rPr>
          <w:rFonts w:asciiTheme="majorHAnsi" w:hAnsiTheme="majorHAnsi" w:cstheme="majorHAnsi"/>
          <w:sz w:val="20"/>
          <w:szCs w:val="20"/>
        </w:rPr>
      </w:pPr>
      <w:r w:rsidRPr="0005201B">
        <w:rPr>
          <w:rFonts w:asciiTheme="majorHAnsi" w:hAnsiTheme="majorHAnsi" w:cstheme="majorHAnsi"/>
          <w:sz w:val="20"/>
          <w:szCs w:val="20"/>
        </w:rPr>
        <w:t xml:space="preserve">Granott, A. </w:t>
      </w:r>
      <w:r w:rsidR="00CE1678" w:rsidRPr="0005201B">
        <w:rPr>
          <w:rFonts w:asciiTheme="majorHAnsi" w:hAnsiTheme="majorHAnsi" w:cstheme="majorHAnsi"/>
          <w:sz w:val="20"/>
          <w:szCs w:val="20"/>
        </w:rPr>
        <w:t>1952.</w:t>
      </w:r>
      <w:r w:rsidR="00CE1678">
        <w:rPr>
          <w:rFonts w:asciiTheme="majorHAnsi" w:hAnsiTheme="majorHAnsi" w:cstheme="majorHAnsi"/>
          <w:sz w:val="20"/>
          <w:szCs w:val="20"/>
        </w:rPr>
        <w:t xml:space="preserve"> </w:t>
      </w:r>
      <w:r w:rsidRPr="0005201B">
        <w:rPr>
          <w:rFonts w:asciiTheme="majorHAnsi" w:hAnsiTheme="majorHAnsi" w:cstheme="majorHAnsi"/>
          <w:i/>
          <w:iCs/>
          <w:sz w:val="20"/>
          <w:szCs w:val="20"/>
        </w:rPr>
        <w:t>The land system in Palestine: history and structure</w:t>
      </w:r>
      <w:r w:rsidRPr="0005201B">
        <w:rPr>
          <w:rFonts w:asciiTheme="majorHAnsi" w:hAnsiTheme="majorHAnsi" w:cstheme="majorHAnsi"/>
          <w:sz w:val="20"/>
          <w:szCs w:val="20"/>
        </w:rPr>
        <w:t>, London. Eyre and Spottiswood</w:t>
      </w:r>
      <w:r w:rsidR="00CE1678">
        <w:rPr>
          <w:rFonts w:asciiTheme="majorHAnsi" w:hAnsiTheme="majorHAnsi" w:cstheme="majorHAnsi"/>
          <w:sz w:val="20"/>
          <w:szCs w:val="20"/>
        </w:rPr>
        <w:t>.</w:t>
      </w:r>
    </w:p>
    <w:p w14:paraId="581C79A0" w14:textId="611586D7" w:rsidR="00B313A8" w:rsidRPr="0005201B" w:rsidRDefault="00B313A8" w:rsidP="001A3B39">
      <w:pPr>
        <w:spacing w:before="120"/>
        <w:ind w:right="102"/>
        <w:jc w:val="both"/>
        <w:rPr>
          <w:rFonts w:asciiTheme="majorHAnsi" w:hAnsiTheme="majorHAnsi" w:cstheme="majorHAnsi"/>
          <w:sz w:val="20"/>
          <w:szCs w:val="20"/>
        </w:rPr>
      </w:pPr>
      <w:r w:rsidRPr="0005201B">
        <w:rPr>
          <w:rFonts w:asciiTheme="majorHAnsi" w:hAnsiTheme="majorHAnsi" w:cstheme="majorHAnsi"/>
          <w:sz w:val="20"/>
          <w:szCs w:val="20"/>
        </w:rPr>
        <w:t>Grossman, D.</w:t>
      </w:r>
      <w:r w:rsidR="00CE1678">
        <w:rPr>
          <w:rFonts w:asciiTheme="majorHAnsi" w:hAnsiTheme="majorHAnsi" w:cstheme="majorHAnsi"/>
          <w:sz w:val="20"/>
          <w:szCs w:val="20"/>
        </w:rPr>
        <w:t xml:space="preserve"> </w:t>
      </w:r>
      <w:r w:rsidR="00CE1678" w:rsidRPr="0005201B">
        <w:rPr>
          <w:rFonts w:asciiTheme="majorHAnsi" w:hAnsiTheme="majorHAnsi" w:cstheme="majorHAnsi"/>
          <w:sz w:val="20"/>
          <w:szCs w:val="20"/>
        </w:rPr>
        <w:t>1980</w:t>
      </w:r>
      <w:r w:rsidR="00CE1678">
        <w:rPr>
          <w:rFonts w:asciiTheme="majorHAnsi" w:hAnsiTheme="majorHAnsi" w:cstheme="majorHAnsi"/>
          <w:sz w:val="20"/>
          <w:szCs w:val="20"/>
        </w:rPr>
        <w:t>.</w:t>
      </w:r>
      <w:r w:rsidRPr="0005201B">
        <w:rPr>
          <w:rFonts w:asciiTheme="majorHAnsi" w:hAnsiTheme="majorHAnsi" w:cstheme="majorHAnsi"/>
          <w:sz w:val="20"/>
          <w:szCs w:val="20"/>
        </w:rPr>
        <w:t xml:space="preserve"> “Satellite settlements in Western Samaria”. </w:t>
      </w:r>
      <w:r w:rsidRPr="0005201B">
        <w:rPr>
          <w:rFonts w:asciiTheme="majorHAnsi" w:hAnsiTheme="majorHAnsi" w:cstheme="majorHAnsi"/>
          <w:i/>
          <w:iCs/>
          <w:sz w:val="20"/>
          <w:szCs w:val="20"/>
        </w:rPr>
        <w:t>Geographical Review</w:t>
      </w:r>
      <w:r w:rsidRPr="0005201B">
        <w:rPr>
          <w:rFonts w:asciiTheme="majorHAnsi" w:hAnsiTheme="majorHAnsi" w:cstheme="majorHAnsi"/>
          <w:sz w:val="20"/>
          <w:szCs w:val="20"/>
        </w:rPr>
        <w:t xml:space="preserve"> 70 no. 4</w:t>
      </w:r>
      <w:r w:rsidR="00CE1678">
        <w:rPr>
          <w:rFonts w:asciiTheme="majorHAnsi" w:hAnsiTheme="majorHAnsi" w:cstheme="majorHAnsi"/>
          <w:sz w:val="20"/>
          <w:szCs w:val="20"/>
        </w:rPr>
        <w:t>,</w:t>
      </w:r>
      <w:r w:rsidRPr="0005201B">
        <w:rPr>
          <w:rFonts w:asciiTheme="majorHAnsi" w:hAnsiTheme="majorHAnsi" w:cstheme="majorHAnsi"/>
          <w:sz w:val="20"/>
          <w:szCs w:val="20"/>
        </w:rPr>
        <w:t xml:space="preserve"> 446-461.</w:t>
      </w:r>
    </w:p>
    <w:p w14:paraId="5772D553" w14:textId="55D819B5" w:rsidR="00B313A8" w:rsidRPr="0005201B" w:rsidRDefault="00B313A8" w:rsidP="001A3B39">
      <w:pPr>
        <w:spacing w:before="120"/>
        <w:ind w:right="102"/>
        <w:jc w:val="both"/>
        <w:rPr>
          <w:rFonts w:asciiTheme="majorHAnsi" w:hAnsiTheme="majorHAnsi" w:cstheme="majorHAnsi"/>
          <w:sz w:val="20"/>
          <w:szCs w:val="20"/>
        </w:rPr>
      </w:pPr>
      <w:r w:rsidRPr="0005201B">
        <w:rPr>
          <w:rFonts w:asciiTheme="majorHAnsi" w:hAnsiTheme="majorHAnsi" w:cstheme="majorHAnsi"/>
          <w:sz w:val="20"/>
          <w:szCs w:val="20"/>
        </w:rPr>
        <w:t>Hakim, Basim,</w:t>
      </w:r>
      <w:r w:rsidR="00CE1678">
        <w:rPr>
          <w:rFonts w:asciiTheme="majorHAnsi" w:hAnsiTheme="majorHAnsi" w:cstheme="majorHAnsi"/>
          <w:sz w:val="20"/>
          <w:szCs w:val="20"/>
        </w:rPr>
        <w:t xml:space="preserve"> </w:t>
      </w:r>
      <w:r w:rsidR="00CE1678" w:rsidRPr="0005201B">
        <w:rPr>
          <w:rFonts w:asciiTheme="majorHAnsi" w:hAnsiTheme="majorHAnsi" w:cstheme="majorHAnsi"/>
          <w:sz w:val="20"/>
          <w:szCs w:val="20"/>
        </w:rPr>
        <w:t>1986</w:t>
      </w:r>
      <w:r w:rsidR="00CE1678">
        <w:rPr>
          <w:rFonts w:asciiTheme="majorHAnsi" w:hAnsiTheme="majorHAnsi" w:cstheme="majorHAnsi"/>
          <w:sz w:val="20"/>
          <w:szCs w:val="20"/>
        </w:rPr>
        <w:t xml:space="preserve">. </w:t>
      </w:r>
      <w:r w:rsidRPr="0005201B">
        <w:rPr>
          <w:rFonts w:asciiTheme="majorHAnsi" w:hAnsiTheme="majorHAnsi" w:cstheme="majorHAnsi"/>
          <w:sz w:val="20"/>
          <w:szCs w:val="20"/>
        </w:rPr>
        <w:t xml:space="preserve"> </w:t>
      </w:r>
      <w:r w:rsidRPr="0005201B">
        <w:rPr>
          <w:rFonts w:asciiTheme="majorHAnsi" w:hAnsiTheme="majorHAnsi" w:cstheme="majorHAnsi"/>
          <w:i/>
          <w:iCs/>
          <w:sz w:val="20"/>
          <w:szCs w:val="20"/>
        </w:rPr>
        <w:t>Arabic - Islamic cities: building and planning principles</w:t>
      </w:r>
      <w:r w:rsidRPr="0005201B">
        <w:rPr>
          <w:rFonts w:asciiTheme="majorHAnsi" w:hAnsiTheme="majorHAnsi" w:cstheme="majorHAnsi"/>
          <w:sz w:val="20"/>
          <w:szCs w:val="20"/>
        </w:rPr>
        <w:t>. London, KPI Ltd.</w:t>
      </w:r>
    </w:p>
    <w:p w14:paraId="6B6EC810" w14:textId="4FF6697A" w:rsidR="00B313A8" w:rsidRPr="0005201B" w:rsidRDefault="00B313A8" w:rsidP="00CE1678">
      <w:pPr>
        <w:spacing w:before="120"/>
        <w:ind w:right="102"/>
        <w:jc w:val="both"/>
        <w:rPr>
          <w:rFonts w:asciiTheme="majorHAnsi" w:hAnsiTheme="majorHAnsi" w:cstheme="majorHAnsi"/>
          <w:sz w:val="20"/>
          <w:szCs w:val="20"/>
        </w:rPr>
      </w:pPr>
      <w:r w:rsidRPr="0005201B">
        <w:rPr>
          <w:rFonts w:asciiTheme="majorHAnsi" w:hAnsiTheme="majorHAnsi" w:cstheme="majorHAnsi"/>
          <w:sz w:val="20"/>
          <w:szCs w:val="20"/>
        </w:rPr>
        <w:t xml:space="preserve">Kark, Ruth. </w:t>
      </w:r>
      <w:r w:rsidR="00CE1678" w:rsidRPr="0005201B">
        <w:rPr>
          <w:rFonts w:asciiTheme="majorHAnsi" w:hAnsiTheme="majorHAnsi" w:cstheme="majorHAnsi"/>
          <w:sz w:val="20"/>
          <w:szCs w:val="20"/>
        </w:rPr>
        <w:t>1986</w:t>
      </w:r>
      <w:r w:rsidR="00CE1678">
        <w:rPr>
          <w:rFonts w:asciiTheme="majorHAnsi" w:hAnsiTheme="majorHAnsi" w:cstheme="majorHAnsi"/>
          <w:sz w:val="20"/>
          <w:szCs w:val="20"/>
        </w:rPr>
        <w:t xml:space="preserve">. </w:t>
      </w:r>
      <w:r w:rsidRPr="0005201B">
        <w:rPr>
          <w:rFonts w:asciiTheme="majorHAnsi" w:hAnsiTheme="majorHAnsi" w:cstheme="majorHAnsi"/>
          <w:i/>
          <w:iCs/>
          <w:sz w:val="20"/>
          <w:szCs w:val="20"/>
        </w:rPr>
        <w:t>The contribution of the Ottoman regime to the development of Jaffa and Jerusalem 1840- 1917</w:t>
      </w:r>
      <w:r w:rsidRPr="0005201B">
        <w:rPr>
          <w:rFonts w:asciiTheme="majorHAnsi" w:hAnsiTheme="majorHAnsi" w:cstheme="majorHAnsi"/>
          <w:sz w:val="20"/>
          <w:szCs w:val="20"/>
        </w:rPr>
        <w:t xml:space="preserve">, in </w:t>
      </w:r>
      <w:r w:rsidRPr="0005201B">
        <w:rPr>
          <w:rFonts w:asciiTheme="majorHAnsi" w:hAnsiTheme="majorHAnsi" w:cstheme="majorHAnsi"/>
          <w:i/>
          <w:iCs/>
          <w:sz w:val="20"/>
          <w:szCs w:val="20"/>
        </w:rPr>
        <w:t xml:space="preserve">Palestine in the late Ottoman period: political, social and economic transformation, </w:t>
      </w:r>
      <w:r w:rsidRPr="0005201B">
        <w:rPr>
          <w:rFonts w:asciiTheme="majorHAnsi" w:hAnsiTheme="majorHAnsi" w:cstheme="majorHAnsi"/>
          <w:sz w:val="20"/>
          <w:szCs w:val="20"/>
        </w:rPr>
        <w:t>edited by David Kushner Jerusalem, Yad Izhak Ben-Zui Press</w:t>
      </w:r>
      <w:r w:rsidR="00CE1678">
        <w:rPr>
          <w:rFonts w:asciiTheme="majorHAnsi" w:hAnsiTheme="majorHAnsi" w:cstheme="majorHAnsi"/>
          <w:sz w:val="20"/>
          <w:szCs w:val="20"/>
        </w:rPr>
        <w:t>.</w:t>
      </w:r>
    </w:p>
    <w:p w14:paraId="13FDF1C5" w14:textId="4A539C30" w:rsidR="00B313A8" w:rsidRPr="0005201B" w:rsidRDefault="00B313A8" w:rsidP="00CE1678">
      <w:pPr>
        <w:spacing w:before="120"/>
        <w:ind w:right="102"/>
        <w:jc w:val="both"/>
        <w:rPr>
          <w:rFonts w:asciiTheme="majorHAnsi" w:hAnsiTheme="majorHAnsi" w:cstheme="majorHAnsi"/>
          <w:sz w:val="20"/>
          <w:szCs w:val="20"/>
        </w:rPr>
      </w:pPr>
      <w:r w:rsidRPr="0005201B">
        <w:rPr>
          <w:rFonts w:asciiTheme="majorHAnsi" w:hAnsiTheme="majorHAnsi" w:cstheme="majorHAnsi"/>
          <w:sz w:val="20"/>
          <w:szCs w:val="20"/>
        </w:rPr>
        <w:t xml:space="preserve">Khalidi, W. ed. </w:t>
      </w:r>
      <w:r w:rsidR="00CE1678" w:rsidRPr="0005201B">
        <w:rPr>
          <w:rFonts w:asciiTheme="majorHAnsi" w:hAnsiTheme="majorHAnsi" w:cstheme="majorHAnsi"/>
          <w:sz w:val="20"/>
          <w:szCs w:val="20"/>
        </w:rPr>
        <w:t>1992.</w:t>
      </w:r>
      <w:r w:rsidR="00CE1678">
        <w:rPr>
          <w:rFonts w:asciiTheme="majorHAnsi" w:hAnsiTheme="majorHAnsi" w:cstheme="majorHAnsi"/>
          <w:sz w:val="20"/>
          <w:szCs w:val="20"/>
        </w:rPr>
        <w:t xml:space="preserve"> </w:t>
      </w:r>
      <w:r w:rsidRPr="0005201B">
        <w:rPr>
          <w:rFonts w:asciiTheme="majorHAnsi" w:hAnsiTheme="majorHAnsi" w:cstheme="majorHAnsi"/>
          <w:i/>
          <w:iCs/>
          <w:sz w:val="20"/>
          <w:szCs w:val="20"/>
        </w:rPr>
        <w:t>All that remain: the Palestinian villages occupied and depopulated by Israel in 1948</w:t>
      </w:r>
      <w:r w:rsidRPr="0005201B">
        <w:rPr>
          <w:rFonts w:asciiTheme="majorHAnsi" w:hAnsiTheme="majorHAnsi" w:cstheme="majorHAnsi"/>
          <w:sz w:val="20"/>
          <w:szCs w:val="20"/>
        </w:rPr>
        <w:t>. Washington, Institute for Palestinian Studies</w:t>
      </w:r>
      <w:r w:rsidR="00CE1678">
        <w:rPr>
          <w:rFonts w:asciiTheme="majorHAnsi" w:hAnsiTheme="majorHAnsi" w:cstheme="majorHAnsi"/>
          <w:sz w:val="20"/>
          <w:szCs w:val="20"/>
        </w:rPr>
        <w:t>.</w:t>
      </w:r>
    </w:p>
    <w:p w14:paraId="1030D209" w14:textId="39F13AA4" w:rsidR="00B313A8" w:rsidRPr="0005201B" w:rsidRDefault="00B313A8" w:rsidP="00CE1678">
      <w:pPr>
        <w:spacing w:before="120"/>
        <w:ind w:right="102"/>
        <w:jc w:val="both"/>
        <w:rPr>
          <w:rFonts w:asciiTheme="majorHAnsi" w:hAnsiTheme="majorHAnsi" w:cstheme="majorHAnsi"/>
          <w:sz w:val="20"/>
          <w:szCs w:val="20"/>
        </w:rPr>
      </w:pPr>
      <w:r w:rsidRPr="0005201B">
        <w:rPr>
          <w:rFonts w:asciiTheme="majorHAnsi" w:hAnsiTheme="majorHAnsi" w:cstheme="majorHAnsi"/>
          <w:sz w:val="20"/>
          <w:szCs w:val="20"/>
        </w:rPr>
        <w:t>Kushner, David ed.</w:t>
      </w:r>
      <w:r w:rsidR="00CE1678">
        <w:rPr>
          <w:rFonts w:asciiTheme="majorHAnsi" w:hAnsiTheme="majorHAnsi" w:cstheme="majorHAnsi"/>
          <w:sz w:val="20"/>
          <w:szCs w:val="20"/>
        </w:rPr>
        <w:t xml:space="preserve"> </w:t>
      </w:r>
      <w:r w:rsidR="00CE1678" w:rsidRPr="0005201B">
        <w:rPr>
          <w:rFonts w:asciiTheme="majorHAnsi" w:hAnsiTheme="majorHAnsi" w:cstheme="majorHAnsi"/>
          <w:sz w:val="20"/>
          <w:szCs w:val="20"/>
        </w:rPr>
        <w:t>1986.</w:t>
      </w:r>
      <w:r w:rsidRPr="0005201B">
        <w:rPr>
          <w:rFonts w:asciiTheme="majorHAnsi" w:hAnsiTheme="majorHAnsi" w:cstheme="majorHAnsi"/>
          <w:sz w:val="20"/>
          <w:szCs w:val="20"/>
        </w:rPr>
        <w:t xml:space="preserve"> </w:t>
      </w:r>
      <w:r w:rsidRPr="0005201B">
        <w:rPr>
          <w:rFonts w:asciiTheme="majorHAnsi" w:hAnsiTheme="majorHAnsi" w:cstheme="majorHAnsi"/>
          <w:i/>
          <w:iCs/>
          <w:sz w:val="20"/>
          <w:szCs w:val="20"/>
        </w:rPr>
        <w:t>Palestine in the late Ottoman period: political, social and economic transformation</w:t>
      </w:r>
      <w:r w:rsidRPr="0005201B">
        <w:rPr>
          <w:rFonts w:asciiTheme="majorHAnsi" w:hAnsiTheme="majorHAnsi" w:cstheme="majorHAnsi"/>
          <w:sz w:val="20"/>
          <w:szCs w:val="20"/>
        </w:rPr>
        <w:t>. Jerusalem, Yad Izhak Ben-Zui Press</w:t>
      </w:r>
      <w:r w:rsidR="00CE1678">
        <w:rPr>
          <w:rFonts w:asciiTheme="majorHAnsi" w:hAnsiTheme="majorHAnsi" w:cstheme="majorHAnsi"/>
          <w:sz w:val="20"/>
          <w:szCs w:val="20"/>
        </w:rPr>
        <w:t>.</w:t>
      </w:r>
    </w:p>
    <w:p w14:paraId="3BF650FA" w14:textId="22D1E9BA" w:rsidR="00B313A8" w:rsidRDefault="00B313A8" w:rsidP="001A3B39">
      <w:pPr>
        <w:pStyle w:val="Default"/>
        <w:spacing w:before="120"/>
        <w:jc w:val="both"/>
        <w:rPr>
          <w:rFonts w:asciiTheme="majorHAnsi" w:hAnsiTheme="majorHAnsi" w:cstheme="majorHAnsi"/>
          <w:sz w:val="20"/>
          <w:szCs w:val="20"/>
        </w:rPr>
      </w:pPr>
      <w:proofErr w:type="spellStart"/>
      <w:r w:rsidRPr="0005201B">
        <w:rPr>
          <w:rFonts w:asciiTheme="majorHAnsi" w:hAnsiTheme="majorHAnsi" w:cstheme="majorHAnsi"/>
          <w:sz w:val="20"/>
          <w:szCs w:val="20"/>
        </w:rPr>
        <w:lastRenderedPageBreak/>
        <w:t>Makam</w:t>
      </w:r>
      <w:proofErr w:type="spellEnd"/>
      <w:r w:rsidRPr="0005201B">
        <w:rPr>
          <w:rFonts w:asciiTheme="majorHAnsi" w:hAnsiTheme="majorHAnsi" w:cstheme="majorHAnsi"/>
          <w:sz w:val="20"/>
          <w:szCs w:val="20"/>
        </w:rPr>
        <w:t>: encyclopedia of laws and ruling of Palestinian courts</w:t>
      </w:r>
      <w:r w:rsidR="00CE1678">
        <w:rPr>
          <w:rFonts w:asciiTheme="majorHAnsi" w:hAnsiTheme="majorHAnsi" w:cstheme="majorHAnsi"/>
          <w:sz w:val="20"/>
          <w:szCs w:val="20"/>
        </w:rPr>
        <w:t xml:space="preserve">, 2021. </w:t>
      </w:r>
      <w:r w:rsidRPr="0005201B">
        <w:rPr>
          <w:rFonts w:asciiTheme="majorHAnsi" w:hAnsiTheme="majorHAnsi" w:cstheme="majorHAnsi"/>
          <w:i/>
          <w:iCs/>
          <w:sz w:val="20"/>
          <w:szCs w:val="20"/>
        </w:rPr>
        <w:t>The Ottoman Land Law 1858</w:t>
      </w:r>
      <w:r w:rsidRPr="0005201B">
        <w:rPr>
          <w:rFonts w:asciiTheme="majorHAnsi" w:hAnsiTheme="majorHAnsi" w:cstheme="majorHAnsi"/>
          <w:sz w:val="20"/>
          <w:szCs w:val="20"/>
        </w:rPr>
        <w:t xml:space="preserve"> (Nablus, An-Najah National University, 2021), </w:t>
      </w:r>
      <w:hyperlink r:id="rId14" w:history="1">
        <w:r w:rsidRPr="0005201B">
          <w:rPr>
            <w:rStyle w:val="Hyperlink"/>
            <w:rFonts w:asciiTheme="majorHAnsi" w:hAnsiTheme="majorHAnsi" w:cstheme="majorHAnsi"/>
            <w:sz w:val="20"/>
            <w:szCs w:val="20"/>
          </w:rPr>
          <w:t>https://maqam.najah.edu/legislation/169/</w:t>
        </w:r>
      </w:hyperlink>
      <w:r w:rsidRPr="0005201B">
        <w:rPr>
          <w:rFonts w:asciiTheme="majorHAnsi" w:hAnsiTheme="majorHAnsi" w:cstheme="majorHAnsi"/>
          <w:sz w:val="20"/>
          <w:szCs w:val="20"/>
        </w:rPr>
        <w:t>.</w:t>
      </w:r>
    </w:p>
    <w:p w14:paraId="738D5904" w14:textId="7A8C320C" w:rsidR="00B313A8" w:rsidRPr="00576549" w:rsidRDefault="00B313A8" w:rsidP="001A3B39">
      <w:pPr>
        <w:pStyle w:val="FootnoteText"/>
        <w:spacing w:before="120"/>
        <w:ind w:hanging="14"/>
        <w:rPr>
          <w:rFonts w:asciiTheme="majorHAnsi" w:eastAsiaTheme="minorEastAsia" w:hAnsiTheme="majorHAnsi" w:cstheme="majorHAnsi"/>
          <w:color w:val="auto"/>
          <w:spacing w:val="0"/>
          <w:w w:val="100"/>
          <w:szCs w:val="20"/>
          <w:lang w:val="tr-TR"/>
        </w:rPr>
      </w:pPr>
      <w:r w:rsidRPr="00576549">
        <w:rPr>
          <w:rFonts w:asciiTheme="majorHAnsi" w:eastAsiaTheme="minorEastAsia" w:hAnsiTheme="majorHAnsi" w:cstheme="majorHAnsi"/>
          <w:color w:val="auto"/>
          <w:spacing w:val="0"/>
          <w:w w:val="100"/>
          <w:szCs w:val="20"/>
          <w:lang w:val="tr-TR"/>
        </w:rPr>
        <w:t>Neveu, Norig,</w:t>
      </w:r>
      <w:r w:rsidR="00CE1678">
        <w:rPr>
          <w:rFonts w:asciiTheme="majorHAnsi" w:eastAsiaTheme="minorEastAsia" w:hAnsiTheme="majorHAnsi" w:cstheme="majorHAnsi"/>
          <w:color w:val="auto"/>
          <w:spacing w:val="0"/>
          <w:w w:val="100"/>
          <w:szCs w:val="20"/>
          <w:lang w:val="tr-TR"/>
        </w:rPr>
        <w:t xml:space="preserve"> 2013. </w:t>
      </w:r>
      <w:r w:rsidRPr="009C2FF6">
        <w:rPr>
          <w:rFonts w:asciiTheme="majorHAnsi" w:eastAsiaTheme="minorEastAsia" w:hAnsiTheme="majorHAnsi" w:cstheme="majorHAnsi"/>
          <w:i/>
          <w:iCs/>
          <w:color w:val="auto"/>
          <w:spacing w:val="0"/>
          <w:w w:val="100"/>
          <w:szCs w:val="20"/>
          <w:lang w:val="tr-TR"/>
        </w:rPr>
        <w:t>The Impact of Ottoman Reform</w:t>
      </w:r>
      <w:r w:rsidRPr="00576549">
        <w:rPr>
          <w:rFonts w:asciiTheme="majorHAnsi" w:eastAsiaTheme="minorEastAsia" w:hAnsiTheme="majorHAnsi" w:cstheme="majorHAnsi"/>
          <w:color w:val="auto"/>
          <w:spacing w:val="0"/>
          <w:w w:val="100"/>
          <w:szCs w:val="20"/>
          <w:lang w:val="tr-TR"/>
        </w:rPr>
        <w:t xml:space="preserve">s, in </w:t>
      </w:r>
      <w:r w:rsidRPr="009C2FF6">
        <w:rPr>
          <w:rFonts w:asciiTheme="majorHAnsi" w:eastAsiaTheme="minorEastAsia" w:hAnsiTheme="majorHAnsi" w:cstheme="majorHAnsi"/>
          <w:i/>
          <w:iCs/>
          <w:color w:val="auto"/>
          <w:spacing w:val="0"/>
          <w:w w:val="100"/>
          <w:szCs w:val="20"/>
          <w:lang w:val="tr-TR"/>
        </w:rPr>
        <w:t>Atlas of Jordan</w:t>
      </w:r>
      <w:r>
        <w:rPr>
          <w:rFonts w:asciiTheme="majorHAnsi" w:eastAsiaTheme="minorEastAsia" w:hAnsiTheme="majorHAnsi" w:cstheme="majorHAnsi"/>
          <w:color w:val="auto"/>
          <w:spacing w:val="0"/>
          <w:w w:val="100"/>
          <w:szCs w:val="20"/>
          <w:lang w:val="tr-TR"/>
        </w:rPr>
        <w:t xml:space="preserve">, edited by </w:t>
      </w:r>
      <w:r w:rsidRPr="00576549">
        <w:rPr>
          <w:rFonts w:asciiTheme="majorHAnsi" w:eastAsiaTheme="minorEastAsia" w:hAnsiTheme="majorHAnsi" w:cstheme="majorHAnsi"/>
          <w:color w:val="auto"/>
          <w:spacing w:val="0"/>
          <w:w w:val="100"/>
          <w:szCs w:val="20"/>
          <w:lang w:val="tr-TR"/>
        </w:rPr>
        <w:t>Myriam Ababsa</w:t>
      </w:r>
      <w:r w:rsidR="00CE1678">
        <w:rPr>
          <w:rFonts w:asciiTheme="majorHAnsi" w:eastAsiaTheme="minorEastAsia" w:hAnsiTheme="majorHAnsi" w:cstheme="majorHAnsi"/>
          <w:color w:val="auto"/>
          <w:spacing w:val="0"/>
          <w:w w:val="100"/>
          <w:szCs w:val="20"/>
          <w:lang w:val="tr-TR"/>
        </w:rPr>
        <w:t>.</w:t>
      </w:r>
      <w:r>
        <w:rPr>
          <w:rFonts w:asciiTheme="majorHAnsi" w:eastAsiaTheme="minorEastAsia" w:hAnsiTheme="majorHAnsi" w:cstheme="majorHAnsi"/>
          <w:color w:val="auto"/>
          <w:spacing w:val="0"/>
          <w:w w:val="100"/>
          <w:szCs w:val="20"/>
          <w:lang w:val="tr-TR"/>
        </w:rPr>
        <w:t xml:space="preserve"> </w:t>
      </w:r>
      <w:r w:rsidRPr="00576549">
        <w:rPr>
          <w:rFonts w:asciiTheme="majorHAnsi" w:eastAsiaTheme="minorEastAsia" w:hAnsiTheme="majorHAnsi" w:cstheme="majorHAnsi"/>
          <w:color w:val="auto"/>
          <w:spacing w:val="0"/>
          <w:w w:val="100"/>
          <w:szCs w:val="20"/>
          <w:lang w:val="tr-TR"/>
        </w:rPr>
        <w:t>Beirut, Presses de l’Ifpo, Institut français du Proche-Orient</w:t>
      </w:r>
      <w:r>
        <w:rPr>
          <w:rFonts w:asciiTheme="majorHAnsi" w:eastAsiaTheme="minorEastAsia" w:hAnsiTheme="majorHAnsi" w:cstheme="majorHAnsi"/>
          <w:color w:val="auto"/>
          <w:spacing w:val="0"/>
          <w:w w:val="100"/>
          <w:szCs w:val="20"/>
          <w:lang w:val="tr-TR"/>
        </w:rPr>
        <w:t>.</w:t>
      </w:r>
      <w:r w:rsidRPr="00576549">
        <w:t xml:space="preserve"> </w:t>
      </w:r>
      <w:r w:rsidRPr="00576549">
        <w:rPr>
          <w:rFonts w:asciiTheme="majorHAnsi" w:eastAsiaTheme="minorEastAsia" w:hAnsiTheme="majorHAnsi" w:cstheme="majorHAnsi"/>
          <w:color w:val="auto"/>
          <w:spacing w:val="0"/>
          <w:w w:val="100"/>
          <w:szCs w:val="20"/>
          <w:lang w:val="tr-TR"/>
        </w:rPr>
        <w:t>https://books.openedition.org/ifpo/5002#text</w:t>
      </w:r>
    </w:p>
    <w:p w14:paraId="109CD243" w14:textId="44B75437" w:rsidR="00B313A8" w:rsidRPr="0005201B" w:rsidRDefault="00B313A8" w:rsidP="00CE1678">
      <w:pPr>
        <w:spacing w:before="120"/>
        <w:ind w:right="102"/>
        <w:jc w:val="both"/>
        <w:rPr>
          <w:rFonts w:asciiTheme="majorHAnsi" w:hAnsiTheme="majorHAnsi" w:cstheme="majorHAnsi"/>
          <w:sz w:val="20"/>
          <w:szCs w:val="20"/>
        </w:rPr>
      </w:pPr>
      <w:r w:rsidRPr="0005201B">
        <w:rPr>
          <w:rFonts w:asciiTheme="majorHAnsi" w:hAnsiTheme="majorHAnsi" w:cstheme="majorHAnsi"/>
          <w:sz w:val="20"/>
          <w:szCs w:val="20"/>
        </w:rPr>
        <w:t>Salagoor, J.Y.</w:t>
      </w:r>
      <w:r w:rsidR="00CE1678">
        <w:rPr>
          <w:rFonts w:asciiTheme="majorHAnsi" w:hAnsiTheme="majorHAnsi" w:cstheme="majorHAnsi"/>
          <w:sz w:val="20"/>
          <w:szCs w:val="20"/>
        </w:rPr>
        <w:t>,</w:t>
      </w:r>
      <w:r w:rsidRPr="0005201B">
        <w:rPr>
          <w:rFonts w:asciiTheme="majorHAnsi" w:hAnsiTheme="majorHAnsi" w:cstheme="majorHAnsi"/>
          <w:sz w:val="20"/>
          <w:szCs w:val="20"/>
        </w:rPr>
        <w:t xml:space="preserve"> </w:t>
      </w:r>
      <w:r w:rsidR="00CE1678" w:rsidRPr="0005201B">
        <w:rPr>
          <w:rFonts w:asciiTheme="majorHAnsi" w:hAnsiTheme="majorHAnsi" w:cstheme="majorHAnsi"/>
          <w:sz w:val="20"/>
          <w:szCs w:val="20"/>
        </w:rPr>
        <w:t>1990.</w:t>
      </w:r>
      <w:r w:rsidR="00CE1678">
        <w:rPr>
          <w:rFonts w:asciiTheme="majorHAnsi" w:hAnsiTheme="majorHAnsi" w:cstheme="majorHAnsi"/>
          <w:sz w:val="20"/>
          <w:szCs w:val="20"/>
        </w:rPr>
        <w:t xml:space="preserve"> </w:t>
      </w:r>
      <w:r w:rsidRPr="0005201B">
        <w:rPr>
          <w:rFonts w:asciiTheme="majorHAnsi" w:hAnsiTheme="majorHAnsi" w:cstheme="majorHAnsi"/>
          <w:i/>
          <w:iCs/>
          <w:sz w:val="20"/>
          <w:szCs w:val="20"/>
        </w:rPr>
        <w:t>The Influence of Building Regulations on Urban Dwelling in Jeddah</w:t>
      </w:r>
      <w:r w:rsidRPr="0005201B">
        <w:rPr>
          <w:rFonts w:asciiTheme="majorHAnsi" w:hAnsiTheme="majorHAnsi" w:cstheme="majorHAnsi"/>
          <w:sz w:val="20"/>
          <w:szCs w:val="20"/>
        </w:rPr>
        <w:t>. Unpublished Ph.D. thesis University of New Castle Upon Tyne</w:t>
      </w:r>
      <w:r w:rsidR="00CE1678">
        <w:rPr>
          <w:rFonts w:asciiTheme="majorHAnsi" w:hAnsiTheme="majorHAnsi" w:cstheme="majorHAnsi"/>
          <w:sz w:val="20"/>
          <w:szCs w:val="20"/>
        </w:rPr>
        <w:t>.</w:t>
      </w:r>
    </w:p>
    <w:p w14:paraId="6B3B05B7" w14:textId="44A02F0F" w:rsidR="00B313A8" w:rsidRDefault="00B313A8" w:rsidP="001A3B39">
      <w:pPr>
        <w:spacing w:before="120"/>
        <w:ind w:right="102"/>
        <w:jc w:val="both"/>
        <w:rPr>
          <w:rFonts w:asciiTheme="majorHAnsi" w:hAnsiTheme="majorHAnsi" w:cstheme="majorHAnsi"/>
          <w:sz w:val="20"/>
          <w:szCs w:val="20"/>
        </w:rPr>
      </w:pPr>
      <w:r w:rsidRPr="0005201B">
        <w:rPr>
          <w:rFonts w:asciiTheme="majorHAnsi" w:hAnsiTheme="majorHAnsi" w:cstheme="majorHAnsi"/>
          <w:sz w:val="20"/>
          <w:szCs w:val="20"/>
        </w:rPr>
        <w:t>Scargill, D. L</w:t>
      </w:r>
      <w:r w:rsidR="00CE1678">
        <w:rPr>
          <w:rFonts w:asciiTheme="majorHAnsi" w:hAnsiTheme="majorHAnsi" w:cstheme="majorHAnsi"/>
          <w:sz w:val="20"/>
          <w:szCs w:val="20"/>
        </w:rPr>
        <w:t>.,</w:t>
      </w:r>
      <w:r w:rsidRPr="0005201B">
        <w:rPr>
          <w:rFonts w:asciiTheme="majorHAnsi" w:hAnsiTheme="majorHAnsi" w:cstheme="majorHAnsi"/>
          <w:sz w:val="20"/>
          <w:szCs w:val="20"/>
        </w:rPr>
        <w:t xml:space="preserve"> </w:t>
      </w:r>
      <w:r w:rsidR="00CE1678" w:rsidRPr="0005201B">
        <w:rPr>
          <w:rFonts w:asciiTheme="majorHAnsi" w:hAnsiTheme="majorHAnsi" w:cstheme="majorHAnsi"/>
          <w:sz w:val="20"/>
          <w:szCs w:val="20"/>
        </w:rPr>
        <w:t>1979.</w:t>
      </w:r>
      <w:r w:rsidR="00CE1678">
        <w:rPr>
          <w:rFonts w:asciiTheme="majorHAnsi" w:hAnsiTheme="majorHAnsi" w:cstheme="majorHAnsi"/>
          <w:sz w:val="20"/>
          <w:szCs w:val="20"/>
        </w:rPr>
        <w:t xml:space="preserve"> </w:t>
      </w:r>
      <w:r w:rsidRPr="0005201B">
        <w:rPr>
          <w:rFonts w:asciiTheme="majorHAnsi" w:hAnsiTheme="majorHAnsi" w:cstheme="majorHAnsi"/>
          <w:i/>
          <w:iCs/>
          <w:sz w:val="20"/>
          <w:szCs w:val="20"/>
        </w:rPr>
        <w:t>The form of cities</w:t>
      </w:r>
      <w:r w:rsidRPr="0005201B">
        <w:rPr>
          <w:rFonts w:asciiTheme="majorHAnsi" w:hAnsiTheme="majorHAnsi" w:cstheme="majorHAnsi"/>
          <w:sz w:val="20"/>
          <w:szCs w:val="20"/>
        </w:rPr>
        <w:t>. London, Bell &amp; Hyman</w:t>
      </w:r>
      <w:r w:rsidR="00CE1678">
        <w:rPr>
          <w:rFonts w:asciiTheme="majorHAnsi" w:hAnsiTheme="majorHAnsi" w:cstheme="majorHAnsi"/>
          <w:sz w:val="20"/>
          <w:szCs w:val="20"/>
        </w:rPr>
        <w:t>.</w:t>
      </w:r>
    </w:p>
    <w:p w14:paraId="503A2B8A" w14:textId="51C6956F" w:rsidR="00877ED7" w:rsidRPr="0005201B" w:rsidRDefault="00877ED7" w:rsidP="001A3B39">
      <w:pPr>
        <w:spacing w:before="120"/>
        <w:ind w:right="102"/>
        <w:jc w:val="both"/>
        <w:rPr>
          <w:rFonts w:asciiTheme="majorHAnsi" w:hAnsiTheme="majorHAnsi" w:cstheme="majorHAnsi"/>
          <w:sz w:val="20"/>
          <w:szCs w:val="20"/>
        </w:rPr>
      </w:pPr>
      <w:r w:rsidRPr="00877ED7">
        <w:rPr>
          <w:rFonts w:asciiTheme="majorHAnsi" w:hAnsiTheme="majorHAnsi" w:cstheme="majorHAnsi"/>
          <w:sz w:val="20"/>
          <w:szCs w:val="20"/>
        </w:rPr>
        <w:t>Solomonovich</w:t>
      </w:r>
      <w:r>
        <w:rPr>
          <w:rFonts w:asciiTheme="majorHAnsi" w:hAnsiTheme="majorHAnsi" w:cstheme="majorHAnsi"/>
          <w:sz w:val="20"/>
          <w:szCs w:val="20"/>
        </w:rPr>
        <w:t xml:space="preserve">, </w:t>
      </w:r>
      <w:r w:rsidRPr="00877ED7">
        <w:rPr>
          <w:rFonts w:asciiTheme="majorHAnsi" w:hAnsiTheme="majorHAnsi" w:cstheme="majorHAnsi"/>
          <w:sz w:val="20"/>
          <w:szCs w:val="20"/>
        </w:rPr>
        <w:t>Nadav and Ruth Kark</w:t>
      </w:r>
      <w:r>
        <w:rPr>
          <w:rFonts w:asciiTheme="majorHAnsi" w:hAnsiTheme="majorHAnsi" w:cstheme="majorHAnsi"/>
          <w:sz w:val="20"/>
          <w:szCs w:val="20"/>
        </w:rPr>
        <w:t>,</w:t>
      </w:r>
      <w:r w:rsidR="00B05DD9">
        <w:rPr>
          <w:rFonts w:asciiTheme="majorHAnsi" w:hAnsiTheme="majorHAnsi" w:cstheme="majorHAnsi"/>
          <w:sz w:val="20"/>
          <w:szCs w:val="20"/>
        </w:rPr>
        <w:t xml:space="preserve"> 2015.</w:t>
      </w:r>
      <w:r>
        <w:rPr>
          <w:rFonts w:asciiTheme="majorHAnsi" w:hAnsiTheme="majorHAnsi" w:cstheme="majorHAnsi"/>
          <w:sz w:val="20"/>
          <w:szCs w:val="20"/>
        </w:rPr>
        <w:t xml:space="preserve"> </w:t>
      </w:r>
      <w:r w:rsidR="00B05DD9">
        <w:rPr>
          <w:rFonts w:asciiTheme="majorHAnsi" w:hAnsiTheme="majorHAnsi" w:cstheme="majorHAnsi"/>
          <w:sz w:val="20"/>
          <w:szCs w:val="20"/>
        </w:rPr>
        <w:t>“</w:t>
      </w:r>
      <w:r w:rsidRPr="00877ED7">
        <w:rPr>
          <w:rFonts w:asciiTheme="majorHAnsi" w:hAnsiTheme="majorHAnsi" w:cstheme="majorHAnsi"/>
          <w:sz w:val="20"/>
          <w:szCs w:val="20"/>
        </w:rPr>
        <w:t>Land Privatization in Nineteenth-century Ottoman Palestine</w:t>
      </w:r>
      <w:r w:rsidR="00B05DD9">
        <w:rPr>
          <w:rFonts w:asciiTheme="majorHAnsi" w:hAnsiTheme="majorHAnsi" w:cstheme="majorHAnsi"/>
          <w:sz w:val="20"/>
          <w:szCs w:val="20"/>
        </w:rPr>
        <w:t xml:space="preserve">”. </w:t>
      </w:r>
      <w:r w:rsidRPr="00B05DD9">
        <w:rPr>
          <w:rFonts w:asciiTheme="majorHAnsi" w:hAnsiTheme="majorHAnsi" w:cstheme="majorHAnsi"/>
          <w:i/>
          <w:iCs/>
          <w:sz w:val="20"/>
          <w:szCs w:val="20"/>
        </w:rPr>
        <w:t>Islamic Law and Society</w:t>
      </w:r>
      <w:r w:rsidRPr="00877ED7">
        <w:rPr>
          <w:rFonts w:asciiTheme="majorHAnsi" w:hAnsiTheme="majorHAnsi" w:cstheme="majorHAnsi"/>
          <w:sz w:val="20"/>
          <w:szCs w:val="20"/>
        </w:rPr>
        <w:t>,  22</w:t>
      </w:r>
      <w:r w:rsidR="00B05DD9">
        <w:rPr>
          <w:rFonts w:asciiTheme="majorHAnsi" w:hAnsiTheme="majorHAnsi" w:cstheme="majorHAnsi"/>
          <w:sz w:val="20"/>
          <w:szCs w:val="20"/>
        </w:rPr>
        <w:t>/</w:t>
      </w:r>
      <w:r w:rsidRPr="00877ED7">
        <w:rPr>
          <w:rFonts w:asciiTheme="majorHAnsi" w:hAnsiTheme="majorHAnsi" w:cstheme="majorHAnsi"/>
          <w:sz w:val="20"/>
          <w:szCs w:val="20"/>
        </w:rPr>
        <w:t>3,</w:t>
      </w:r>
      <w:r w:rsidR="00B05DD9">
        <w:rPr>
          <w:rFonts w:asciiTheme="majorHAnsi" w:hAnsiTheme="majorHAnsi" w:cstheme="majorHAnsi"/>
          <w:sz w:val="20"/>
          <w:szCs w:val="20"/>
        </w:rPr>
        <w:t xml:space="preserve"> </w:t>
      </w:r>
      <w:r w:rsidRPr="00877ED7">
        <w:rPr>
          <w:rFonts w:asciiTheme="majorHAnsi" w:hAnsiTheme="majorHAnsi" w:cstheme="majorHAnsi"/>
          <w:sz w:val="20"/>
          <w:szCs w:val="20"/>
        </w:rPr>
        <w:t>221-252</w:t>
      </w:r>
      <w:r w:rsidR="00B05DD9">
        <w:rPr>
          <w:rFonts w:asciiTheme="majorHAnsi" w:hAnsiTheme="majorHAnsi" w:cstheme="majorHAnsi"/>
          <w:sz w:val="20"/>
          <w:szCs w:val="20"/>
        </w:rPr>
        <w:t>.</w:t>
      </w:r>
    </w:p>
    <w:p w14:paraId="52573238" w14:textId="79B0947E" w:rsidR="00B313A8" w:rsidRPr="0005201B" w:rsidRDefault="00B313A8" w:rsidP="001111D0">
      <w:pPr>
        <w:spacing w:before="120"/>
        <w:ind w:right="102"/>
        <w:jc w:val="both"/>
        <w:rPr>
          <w:rFonts w:asciiTheme="majorHAnsi" w:hAnsiTheme="majorHAnsi" w:cstheme="majorHAnsi"/>
          <w:sz w:val="20"/>
          <w:szCs w:val="20"/>
        </w:rPr>
      </w:pPr>
      <w:r w:rsidRPr="0005201B">
        <w:rPr>
          <w:rFonts w:asciiTheme="majorHAnsi" w:hAnsiTheme="majorHAnsi" w:cstheme="majorHAnsi"/>
          <w:sz w:val="20"/>
          <w:szCs w:val="20"/>
        </w:rPr>
        <w:t>Stein, K. W.</w:t>
      </w:r>
      <w:r w:rsidR="001111D0">
        <w:rPr>
          <w:rFonts w:asciiTheme="majorHAnsi" w:hAnsiTheme="majorHAnsi" w:cstheme="majorHAnsi"/>
          <w:sz w:val="20"/>
          <w:szCs w:val="20"/>
        </w:rPr>
        <w:t xml:space="preserve">, </w:t>
      </w:r>
      <w:r w:rsidR="001111D0" w:rsidRPr="0005201B">
        <w:rPr>
          <w:rFonts w:asciiTheme="majorHAnsi" w:hAnsiTheme="majorHAnsi" w:cstheme="majorHAnsi"/>
          <w:sz w:val="20"/>
          <w:szCs w:val="20"/>
        </w:rPr>
        <w:t>1984.</w:t>
      </w:r>
      <w:r w:rsidR="001111D0">
        <w:rPr>
          <w:rFonts w:asciiTheme="majorHAnsi" w:hAnsiTheme="majorHAnsi" w:cstheme="majorHAnsi"/>
          <w:sz w:val="20"/>
          <w:szCs w:val="20"/>
        </w:rPr>
        <w:t xml:space="preserve"> </w:t>
      </w:r>
      <w:r w:rsidRPr="0005201B">
        <w:rPr>
          <w:rFonts w:asciiTheme="majorHAnsi" w:hAnsiTheme="majorHAnsi" w:cstheme="majorHAnsi"/>
          <w:i/>
          <w:iCs/>
          <w:sz w:val="20"/>
          <w:szCs w:val="20"/>
        </w:rPr>
        <w:t>The land question in Palestine</w:t>
      </w:r>
      <w:r w:rsidRPr="0005201B">
        <w:rPr>
          <w:rFonts w:asciiTheme="majorHAnsi" w:hAnsiTheme="majorHAnsi" w:cstheme="majorHAnsi"/>
          <w:sz w:val="20"/>
          <w:szCs w:val="20"/>
        </w:rPr>
        <w:t xml:space="preserve"> 1917-1939. The University of North Carolina Press, Chapel Hill and London</w:t>
      </w:r>
      <w:r w:rsidR="001111D0">
        <w:rPr>
          <w:rFonts w:asciiTheme="majorHAnsi" w:hAnsiTheme="majorHAnsi" w:cstheme="majorHAnsi"/>
          <w:sz w:val="20"/>
          <w:szCs w:val="20"/>
        </w:rPr>
        <w:t>.</w:t>
      </w:r>
    </w:p>
    <w:p w14:paraId="022A04D2" w14:textId="77777777" w:rsidR="0005201B" w:rsidRPr="0005201B" w:rsidRDefault="0005201B" w:rsidP="00087294">
      <w:pPr>
        <w:ind w:left="153" w:right="102" w:firstLine="391"/>
        <w:jc w:val="both"/>
        <w:rPr>
          <w:rFonts w:asciiTheme="majorHAnsi" w:hAnsiTheme="majorHAnsi" w:cstheme="majorHAnsi"/>
          <w:sz w:val="20"/>
          <w:szCs w:val="20"/>
        </w:rPr>
      </w:pPr>
    </w:p>
    <w:p w14:paraId="39C8CA8F" w14:textId="77777777" w:rsidR="0005201B" w:rsidRPr="0005201B" w:rsidRDefault="0005201B" w:rsidP="00087294">
      <w:pPr>
        <w:ind w:left="153" w:right="102" w:firstLine="391"/>
        <w:jc w:val="both"/>
        <w:rPr>
          <w:rFonts w:asciiTheme="majorHAnsi" w:hAnsiTheme="majorHAnsi" w:cstheme="majorHAnsi"/>
          <w:sz w:val="20"/>
          <w:szCs w:val="20"/>
        </w:rPr>
      </w:pPr>
    </w:p>
    <w:p w14:paraId="670FA4D7" w14:textId="77777777" w:rsidR="0005201B" w:rsidRPr="0005201B" w:rsidRDefault="0005201B" w:rsidP="00087294">
      <w:pPr>
        <w:ind w:right="102"/>
        <w:jc w:val="both"/>
        <w:rPr>
          <w:rFonts w:asciiTheme="majorHAnsi" w:hAnsiTheme="majorHAnsi" w:cstheme="majorHAnsi"/>
          <w:sz w:val="20"/>
          <w:szCs w:val="20"/>
        </w:rPr>
      </w:pPr>
    </w:p>
    <w:p w14:paraId="14320CD1" w14:textId="77777777" w:rsidR="00B93E00" w:rsidRPr="0005201B" w:rsidRDefault="00B93E00" w:rsidP="00087294">
      <w:pPr>
        <w:ind w:firstLine="284"/>
        <w:jc w:val="both"/>
        <w:rPr>
          <w:rFonts w:asciiTheme="majorHAnsi" w:hAnsiTheme="majorHAnsi" w:cstheme="majorHAnsi"/>
          <w:sz w:val="20"/>
          <w:szCs w:val="20"/>
        </w:rPr>
      </w:pPr>
    </w:p>
    <w:p w14:paraId="297EFFCA" w14:textId="5973E438" w:rsidR="00D3316F" w:rsidRPr="0005201B" w:rsidRDefault="00D3316F" w:rsidP="00087294">
      <w:pPr>
        <w:rPr>
          <w:rFonts w:asciiTheme="majorHAnsi" w:hAnsiTheme="majorHAnsi" w:cstheme="majorHAnsi"/>
          <w:color w:val="000000"/>
          <w:sz w:val="20"/>
          <w:szCs w:val="20"/>
        </w:rPr>
      </w:pPr>
    </w:p>
    <w:p w14:paraId="77BA7D3B" w14:textId="77777777" w:rsidR="00B93E00" w:rsidRPr="0005201B" w:rsidRDefault="00B93E00" w:rsidP="00087294">
      <w:pPr>
        <w:ind w:firstLine="284"/>
        <w:jc w:val="both"/>
        <w:rPr>
          <w:rFonts w:asciiTheme="majorHAnsi" w:hAnsiTheme="majorHAnsi" w:cstheme="majorHAnsi"/>
          <w:color w:val="000000"/>
          <w:sz w:val="20"/>
          <w:szCs w:val="20"/>
        </w:rPr>
      </w:pPr>
    </w:p>
    <w:p w14:paraId="4863346C" w14:textId="77777777" w:rsidR="00D3316F" w:rsidRPr="0005201B" w:rsidRDefault="00D3316F" w:rsidP="00087294">
      <w:pPr>
        <w:ind w:firstLine="284"/>
        <w:jc w:val="both"/>
        <w:rPr>
          <w:rFonts w:asciiTheme="majorHAnsi" w:hAnsiTheme="majorHAnsi" w:cstheme="majorHAnsi"/>
          <w:color w:val="000000"/>
          <w:sz w:val="20"/>
          <w:szCs w:val="20"/>
        </w:rPr>
      </w:pPr>
    </w:p>
    <w:p w14:paraId="20DEF3F8" w14:textId="77777777" w:rsidR="004C35E2" w:rsidRPr="0005201B" w:rsidRDefault="004C35E2" w:rsidP="00087294">
      <w:pPr>
        <w:ind w:firstLine="284"/>
        <w:jc w:val="both"/>
        <w:rPr>
          <w:rFonts w:asciiTheme="majorHAnsi" w:hAnsiTheme="majorHAnsi" w:cstheme="majorHAnsi"/>
          <w:color w:val="000000"/>
          <w:sz w:val="20"/>
          <w:szCs w:val="20"/>
        </w:rPr>
      </w:pPr>
    </w:p>
    <w:p w14:paraId="244237AE" w14:textId="77777777" w:rsidR="004C35E2" w:rsidRPr="0005201B" w:rsidRDefault="004C35E2" w:rsidP="00087294">
      <w:pPr>
        <w:ind w:firstLine="284"/>
        <w:jc w:val="both"/>
        <w:rPr>
          <w:rFonts w:asciiTheme="majorHAnsi" w:hAnsiTheme="majorHAnsi" w:cstheme="majorHAnsi"/>
          <w:color w:val="000000"/>
          <w:sz w:val="20"/>
          <w:szCs w:val="20"/>
        </w:rPr>
      </w:pPr>
    </w:p>
    <w:p w14:paraId="1B5EC5BC" w14:textId="77777777" w:rsidR="004C35E2" w:rsidRPr="0005201B" w:rsidRDefault="004C35E2" w:rsidP="00087294">
      <w:pPr>
        <w:ind w:firstLine="284"/>
        <w:jc w:val="both"/>
        <w:rPr>
          <w:rFonts w:asciiTheme="majorHAnsi" w:hAnsiTheme="majorHAnsi" w:cstheme="majorHAnsi"/>
          <w:color w:val="000000"/>
          <w:sz w:val="20"/>
          <w:szCs w:val="20"/>
        </w:rPr>
      </w:pPr>
    </w:p>
    <w:p w14:paraId="1DD487A1" w14:textId="77777777" w:rsidR="004C35E2" w:rsidRPr="0005201B" w:rsidRDefault="004C35E2" w:rsidP="00087294">
      <w:pPr>
        <w:ind w:firstLine="284"/>
        <w:jc w:val="both"/>
        <w:rPr>
          <w:rFonts w:asciiTheme="majorHAnsi" w:hAnsiTheme="majorHAnsi" w:cstheme="majorHAnsi"/>
          <w:color w:val="000000"/>
          <w:sz w:val="20"/>
          <w:szCs w:val="20"/>
        </w:rPr>
      </w:pPr>
    </w:p>
    <w:p w14:paraId="7D63E627" w14:textId="77777777" w:rsidR="004C35E2" w:rsidRPr="0005201B" w:rsidRDefault="004C35E2" w:rsidP="00087294">
      <w:pPr>
        <w:ind w:firstLine="284"/>
        <w:jc w:val="both"/>
        <w:rPr>
          <w:rFonts w:asciiTheme="majorHAnsi" w:hAnsiTheme="majorHAnsi" w:cstheme="majorHAnsi"/>
          <w:color w:val="000000"/>
          <w:sz w:val="20"/>
          <w:szCs w:val="20"/>
        </w:rPr>
      </w:pPr>
    </w:p>
    <w:p w14:paraId="7C816EFC" w14:textId="77777777" w:rsidR="004C35E2" w:rsidRPr="0005201B" w:rsidRDefault="004C35E2" w:rsidP="00087294">
      <w:pPr>
        <w:ind w:firstLine="284"/>
        <w:jc w:val="both"/>
        <w:rPr>
          <w:rFonts w:asciiTheme="majorHAnsi" w:hAnsiTheme="majorHAnsi" w:cstheme="majorHAnsi"/>
          <w:color w:val="000000"/>
          <w:sz w:val="20"/>
          <w:szCs w:val="20"/>
        </w:rPr>
      </w:pPr>
    </w:p>
    <w:p w14:paraId="0C8BAD77" w14:textId="77777777" w:rsidR="004C35E2" w:rsidRPr="0005201B" w:rsidRDefault="004C35E2" w:rsidP="00087294">
      <w:pPr>
        <w:ind w:firstLine="284"/>
        <w:jc w:val="both"/>
        <w:rPr>
          <w:rFonts w:asciiTheme="majorHAnsi" w:hAnsiTheme="majorHAnsi" w:cstheme="majorHAnsi"/>
          <w:color w:val="000000"/>
          <w:sz w:val="20"/>
          <w:szCs w:val="20"/>
        </w:rPr>
      </w:pPr>
    </w:p>
    <w:p w14:paraId="658A61B4" w14:textId="77777777" w:rsidR="004C35E2" w:rsidRPr="0005201B" w:rsidRDefault="004C35E2" w:rsidP="00087294">
      <w:pPr>
        <w:ind w:firstLine="284"/>
        <w:jc w:val="both"/>
        <w:rPr>
          <w:rFonts w:asciiTheme="majorHAnsi" w:hAnsiTheme="majorHAnsi" w:cstheme="majorHAnsi"/>
          <w:color w:val="000000"/>
          <w:sz w:val="20"/>
          <w:szCs w:val="20"/>
        </w:rPr>
      </w:pPr>
    </w:p>
    <w:p w14:paraId="08D32E6E" w14:textId="77777777" w:rsidR="004C35E2" w:rsidRPr="0005201B" w:rsidRDefault="004C35E2" w:rsidP="00087294">
      <w:pPr>
        <w:ind w:firstLine="284"/>
        <w:jc w:val="both"/>
        <w:rPr>
          <w:rFonts w:asciiTheme="majorHAnsi" w:hAnsiTheme="majorHAnsi" w:cstheme="majorHAnsi"/>
          <w:color w:val="000000"/>
          <w:sz w:val="20"/>
          <w:szCs w:val="20"/>
        </w:rPr>
      </w:pPr>
    </w:p>
    <w:p w14:paraId="28A8E4FD" w14:textId="77777777" w:rsidR="004C35E2" w:rsidRPr="0005201B" w:rsidRDefault="004C35E2" w:rsidP="00087294">
      <w:pPr>
        <w:ind w:firstLine="284"/>
        <w:jc w:val="both"/>
        <w:rPr>
          <w:rFonts w:asciiTheme="majorHAnsi" w:hAnsiTheme="majorHAnsi" w:cstheme="majorHAnsi"/>
          <w:color w:val="000000"/>
          <w:sz w:val="20"/>
          <w:szCs w:val="20"/>
        </w:rPr>
      </w:pPr>
    </w:p>
    <w:p w14:paraId="72658C22" w14:textId="77777777" w:rsidR="00D3316F" w:rsidRPr="0005201B" w:rsidRDefault="00D3316F" w:rsidP="00087294">
      <w:pPr>
        <w:ind w:firstLine="284"/>
        <w:jc w:val="both"/>
        <w:rPr>
          <w:rFonts w:asciiTheme="majorHAnsi" w:hAnsiTheme="majorHAnsi" w:cstheme="majorHAnsi"/>
          <w:color w:val="000000"/>
          <w:sz w:val="20"/>
          <w:szCs w:val="20"/>
        </w:rPr>
      </w:pPr>
    </w:p>
    <w:p w14:paraId="5C3F55A5" w14:textId="2D0996B3" w:rsidR="00B93E00" w:rsidRDefault="00B93E00" w:rsidP="00087294">
      <w:pPr>
        <w:jc w:val="both"/>
        <w:rPr>
          <w:rFonts w:ascii="Calibri" w:hAnsi="Calibri"/>
          <w:sz w:val="20"/>
          <w:szCs w:val="20"/>
        </w:rPr>
      </w:pPr>
    </w:p>
    <w:p w14:paraId="3B721842" w14:textId="212E1A68" w:rsidR="00830404" w:rsidRDefault="00830404" w:rsidP="00087294">
      <w:pPr>
        <w:jc w:val="both"/>
        <w:rPr>
          <w:rFonts w:ascii="Calibri" w:hAnsi="Calibri"/>
          <w:sz w:val="20"/>
          <w:szCs w:val="20"/>
        </w:rPr>
      </w:pPr>
    </w:p>
    <w:p w14:paraId="00B7C18E" w14:textId="248919C9" w:rsidR="00830404" w:rsidRDefault="00830404" w:rsidP="00087294">
      <w:pPr>
        <w:jc w:val="both"/>
        <w:rPr>
          <w:rFonts w:ascii="Calibri" w:hAnsi="Calibri"/>
          <w:sz w:val="20"/>
          <w:szCs w:val="20"/>
        </w:rPr>
      </w:pPr>
    </w:p>
    <w:p w14:paraId="3AAF0C83" w14:textId="63E728C4" w:rsidR="00830404" w:rsidRDefault="00830404" w:rsidP="00087294">
      <w:pPr>
        <w:jc w:val="both"/>
        <w:rPr>
          <w:rFonts w:ascii="Calibri" w:hAnsi="Calibri"/>
          <w:sz w:val="20"/>
          <w:szCs w:val="20"/>
        </w:rPr>
      </w:pPr>
    </w:p>
    <w:p w14:paraId="0BBC9BDF" w14:textId="674809FD" w:rsidR="00830404" w:rsidRDefault="00830404" w:rsidP="00087294">
      <w:pPr>
        <w:jc w:val="both"/>
        <w:rPr>
          <w:rFonts w:ascii="Calibri" w:hAnsi="Calibri"/>
          <w:sz w:val="20"/>
          <w:szCs w:val="20"/>
        </w:rPr>
      </w:pPr>
    </w:p>
    <w:sectPr w:rsidR="00830404" w:rsidSect="007224C2">
      <w:pgSz w:w="11907" w:h="16839" w:code="9"/>
      <w:pgMar w:top="1417" w:right="1417" w:bottom="1417" w:left="141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4DAB7C" w14:textId="77777777" w:rsidR="0005201B" w:rsidRDefault="0005201B" w:rsidP="0005201B">
      <w:r>
        <w:separator/>
      </w:r>
    </w:p>
  </w:endnote>
  <w:endnote w:type="continuationSeparator" w:id="0">
    <w:p w14:paraId="0C9C215E" w14:textId="77777777" w:rsidR="0005201B" w:rsidRDefault="0005201B" w:rsidP="000520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charset w:val="00"/>
    <w:family w:val="auto"/>
    <w:pitch w:val="variable"/>
    <w:sig w:usb0="00000003" w:usb1="00000000" w:usb2="00000000" w:usb3="00000000" w:csb0="00000001" w:csb1="00000000"/>
  </w:font>
  <w:font w:name="AGaramondPro-Bold">
    <w:altName w:val="Cambria"/>
    <w:panose1 w:val="00000000000000000000"/>
    <w:charset w:val="00"/>
    <w:family w:val="roman"/>
    <w:notTrueType/>
    <w:pitch w:val="default"/>
    <w:sig w:usb0="00000003" w:usb1="00000000" w:usb2="00000000" w:usb3="00000000" w:csb0="00000001" w:csb1="00000000"/>
  </w:font>
  <w:font w:name=".">
    <w:altName w:val="Calibri"/>
    <w:panose1 w:val="00000000000000000000"/>
    <w:charset w:val="00"/>
    <w:family w:val="swiss"/>
    <w:notTrueType/>
    <w:pitch w:val="default"/>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2417BA" w14:textId="77777777" w:rsidR="0005201B" w:rsidRDefault="0005201B" w:rsidP="0005201B">
      <w:r>
        <w:separator/>
      </w:r>
    </w:p>
  </w:footnote>
  <w:footnote w:type="continuationSeparator" w:id="0">
    <w:p w14:paraId="426C4AE3" w14:textId="77777777" w:rsidR="0005201B" w:rsidRDefault="0005201B" w:rsidP="0005201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8A2B92"/>
    <w:multiLevelType w:val="multilevel"/>
    <w:tmpl w:val="82E27D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7E3B6571"/>
    <w:multiLevelType w:val="multilevel"/>
    <w:tmpl w:val="E2DE03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93E00"/>
    <w:rsid w:val="000228AD"/>
    <w:rsid w:val="00024DC6"/>
    <w:rsid w:val="0005201B"/>
    <w:rsid w:val="00087294"/>
    <w:rsid w:val="000F1933"/>
    <w:rsid w:val="000F4335"/>
    <w:rsid w:val="000F76D9"/>
    <w:rsid w:val="00106022"/>
    <w:rsid w:val="001111D0"/>
    <w:rsid w:val="00112B8D"/>
    <w:rsid w:val="00167B2F"/>
    <w:rsid w:val="001A3B39"/>
    <w:rsid w:val="001B1104"/>
    <w:rsid w:val="001F6B70"/>
    <w:rsid w:val="002366A6"/>
    <w:rsid w:val="0030040E"/>
    <w:rsid w:val="0031792C"/>
    <w:rsid w:val="003969F0"/>
    <w:rsid w:val="00454029"/>
    <w:rsid w:val="004B5A64"/>
    <w:rsid w:val="004C35E2"/>
    <w:rsid w:val="004C765D"/>
    <w:rsid w:val="004F046B"/>
    <w:rsid w:val="00576549"/>
    <w:rsid w:val="00584FAF"/>
    <w:rsid w:val="00607D7E"/>
    <w:rsid w:val="00625C5C"/>
    <w:rsid w:val="006A0B54"/>
    <w:rsid w:val="007224C2"/>
    <w:rsid w:val="007D33D4"/>
    <w:rsid w:val="00830404"/>
    <w:rsid w:val="00877ED7"/>
    <w:rsid w:val="009C2FF6"/>
    <w:rsid w:val="00A87578"/>
    <w:rsid w:val="00B05DD9"/>
    <w:rsid w:val="00B313A8"/>
    <w:rsid w:val="00B93E00"/>
    <w:rsid w:val="00C34F4C"/>
    <w:rsid w:val="00C40480"/>
    <w:rsid w:val="00C77141"/>
    <w:rsid w:val="00C87F4D"/>
    <w:rsid w:val="00CE1678"/>
    <w:rsid w:val="00D04069"/>
    <w:rsid w:val="00D3316F"/>
    <w:rsid w:val="00E24223"/>
    <w:rsid w:val="00F4537C"/>
    <w:rsid w:val="00F511D3"/>
    <w:rsid w:val="00F67862"/>
    <w:rsid w:val="00FA1395"/>
    <w:rsid w:val="00FB30E4"/>
  </w:rsids>
  <m:mathPr>
    <m:mathFont m:val="Cambria Math"/>
    <m:brkBin m:val="before"/>
    <m:brkBinSub m:val="--"/>
    <m:smallFrac m:val="0"/>
    <m:dispDef/>
    <m:lMargin m:val="0"/>
    <m:rMargin m:val="0"/>
    <m:defJc m:val="centerGroup"/>
    <m:wrapIndent m:val="1440"/>
    <m:intLim m:val="subSup"/>
    <m:naryLim m:val="undOvr"/>
  </m:mathPr>
  <w:themeFontLang w:val="tr-TR"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491B189"/>
  <w14:defaultImageDpi w14:val="300"/>
  <w15:docId w15:val="{5355EC6F-A81D-4BCE-969A-A09A2E68F8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tr-T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93E00"/>
  </w:style>
  <w:style w:type="paragraph" w:styleId="Heading1">
    <w:name w:val="heading 1"/>
    <w:basedOn w:val="Normal"/>
    <w:link w:val="Heading1Char"/>
    <w:uiPriority w:val="9"/>
    <w:qFormat/>
    <w:rsid w:val="00607D7E"/>
    <w:pPr>
      <w:spacing w:before="100" w:beforeAutospacing="1" w:after="100" w:afterAutospacing="1"/>
      <w:outlineLvl w:val="0"/>
    </w:pPr>
    <w:rPr>
      <w:rFonts w:ascii="Times New Roman" w:eastAsia="Times New Roman" w:hAnsi="Times New Roman" w:cs="Times New Roman"/>
      <w:b/>
      <w:bCs/>
      <w:kern w:val="36"/>
      <w:sz w:val="48"/>
      <w:szCs w:val="48"/>
      <w:lang w:val="en-US"/>
    </w:rPr>
  </w:style>
  <w:style w:type="paragraph" w:styleId="Heading2">
    <w:name w:val="heading 2"/>
    <w:basedOn w:val="Normal"/>
    <w:next w:val="Normal"/>
    <w:link w:val="Heading2Char"/>
    <w:uiPriority w:val="9"/>
    <w:semiHidden/>
    <w:unhideWhenUsed/>
    <w:qFormat/>
    <w:rsid w:val="00830404"/>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1A3B39"/>
    <w:pPr>
      <w:keepNext/>
      <w:keepLines/>
      <w:spacing w:before="40"/>
      <w:outlineLvl w:val="2"/>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C765D"/>
    <w:rPr>
      <w:rFonts w:ascii="Lucida Grande" w:hAnsi="Lucida Grande"/>
      <w:sz w:val="18"/>
      <w:szCs w:val="18"/>
    </w:rPr>
  </w:style>
  <w:style w:type="character" w:customStyle="1" w:styleId="BalloonTextChar">
    <w:name w:val="Balloon Text Char"/>
    <w:basedOn w:val="DefaultParagraphFont"/>
    <w:link w:val="BalloonText"/>
    <w:uiPriority w:val="99"/>
    <w:semiHidden/>
    <w:rsid w:val="004C765D"/>
    <w:rPr>
      <w:rFonts w:ascii="Lucida Grande" w:hAnsi="Lucida Grande"/>
      <w:sz w:val="18"/>
      <w:szCs w:val="18"/>
    </w:rPr>
  </w:style>
  <w:style w:type="paragraph" w:styleId="FootnoteText">
    <w:name w:val="footnote text"/>
    <w:basedOn w:val="Normal"/>
    <w:link w:val="FootnoteTextChar"/>
    <w:uiPriority w:val="99"/>
    <w:unhideWhenUsed/>
    <w:rsid w:val="0005201B"/>
    <w:pPr>
      <w:widowControl w:val="0"/>
      <w:autoSpaceDE w:val="0"/>
      <w:autoSpaceDN w:val="0"/>
    </w:pPr>
    <w:rPr>
      <w:rFonts w:ascii="AGaramondPro-Bold" w:eastAsiaTheme="minorHAnsi" w:hAnsi="AGaramondPro-Bold" w:cs="AGaramondPro-Bold"/>
      <w:color w:val="231F20"/>
      <w:spacing w:val="-2"/>
      <w:w w:val="95"/>
      <w:sz w:val="20"/>
      <w:szCs w:val="22"/>
      <w:lang w:val="en-US"/>
    </w:rPr>
  </w:style>
  <w:style w:type="character" w:customStyle="1" w:styleId="FootnoteTextChar">
    <w:name w:val="Footnote Text Char"/>
    <w:basedOn w:val="DefaultParagraphFont"/>
    <w:link w:val="FootnoteText"/>
    <w:uiPriority w:val="99"/>
    <w:rsid w:val="0005201B"/>
    <w:rPr>
      <w:rFonts w:ascii="AGaramondPro-Bold" w:eastAsiaTheme="minorHAnsi" w:hAnsi="AGaramondPro-Bold" w:cs="AGaramondPro-Bold"/>
      <w:color w:val="231F20"/>
      <w:spacing w:val="-2"/>
      <w:w w:val="95"/>
      <w:sz w:val="20"/>
      <w:szCs w:val="22"/>
      <w:lang w:val="en-US"/>
    </w:rPr>
  </w:style>
  <w:style w:type="character" w:styleId="FootnoteReference">
    <w:name w:val="footnote reference"/>
    <w:basedOn w:val="DefaultParagraphFont"/>
    <w:uiPriority w:val="99"/>
    <w:semiHidden/>
    <w:unhideWhenUsed/>
    <w:rsid w:val="0005201B"/>
    <w:rPr>
      <w:vertAlign w:val="superscript"/>
    </w:rPr>
  </w:style>
  <w:style w:type="character" w:styleId="Hyperlink">
    <w:name w:val="Hyperlink"/>
    <w:basedOn w:val="DefaultParagraphFont"/>
    <w:uiPriority w:val="99"/>
    <w:unhideWhenUsed/>
    <w:rsid w:val="0005201B"/>
    <w:rPr>
      <w:color w:val="0000FF"/>
      <w:u w:val="single"/>
    </w:rPr>
  </w:style>
  <w:style w:type="paragraph" w:customStyle="1" w:styleId="Default">
    <w:name w:val="Default"/>
    <w:rsid w:val="0005201B"/>
    <w:pPr>
      <w:autoSpaceDE w:val="0"/>
      <w:autoSpaceDN w:val="0"/>
      <w:adjustRightInd w:val="0"/>
    </w:pPr>
    <w:rPr>
      <w:rFonts w:ascii="." w:eastAsiaTheme="minorHAnsi" w:hAnsi="." w:cs="."/>
      <w:color w:val="000000"/>
      <w:spacing w:val="-2"/>
      <w:w w:val="95"/>
      <w:lang w:val="en-US"/>
    </w:rPr>
  </w:style>
  <w:style w:type="character" w:styleId="Strong">
    <w:name w:val="Strong"/>
    <w:basedOn w:val="DefaultParagraphFont"/>
    <w:uiPriority w:val="22"/>
    <w:qFormat/>
    <w:rsid w:val="00607D7E"/>
    <w:rPr>
      <w:b/>
      <w:bCs/>
    </w:rPr>
  </w:style>
  <w:style w:type="character" w:customStyle="1" w:styleId="Heading1Char">
    <w:name w:val="Heading 1 Char"/>
    <w:basedOn w:val="DefaultParagraphFont"/>
    <w:link w:val="Heading1"/>
    <w:uiPriority w:val="9"/>
    <w:rsid w:val="00607D7E"/>
    <w:rPr>
      <w:rFonts w:ascii="Times New Roman" w:eastAsia="Times New Roman" w:hAnsi="Times New Roman" w:cs="Times New Roman"/>
      <w:b/>
      <w:bCs/>
      <w:kern w:val="36"/>
      <w:sz w:val="48"/>
      <w:szCs w:val="48"/>
      <w:lang w:val="en-US"/>
    </w:rPr>
  </w:style>
  <w:style w:type="character" w:customStyle="1" w:styleId="Heading2Char">
    <w:name w:val="Heading 2 Char"/>
    <w:basedOn w:val="DefaultParagraphFont"/>
    <w:link w:val="Heading2"/>
    <w:uiPriority w:val="9"/>
    <w:semiHidden/>
    <w:rsid w:val="00830404"/>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uiPriority w:val="9"/>
    <w:semiHidden/>
    <w:rsid w:val="001A3B39"/>
    <w:rPr>
      <w:rFonts w:asciiTheme="majorHAnsi" w:eastAsiaTheme="majorEastAsia" w:hAnsiTheme="majorHAnsi" w:cstheme="majorBidi"/>
      <w:color w:val="243F60"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480432">
      <w:bodyDiv w:val="1"/>
      <w:marLeft w:val="0"/>
      <w:marRight w:val="0"/>
      <w:marTop w:val="0"/>
      <w:marBottom w:val="0"/>
      <w:divBdr>
        <w:top w:val="none" w:sz="0" w:space="0" w:color="auto"/>
        <w:left w:val="none" w:sz="0" w:space="0" w:color="auto"/>
        <w:bottom w:val="none" w:sz="0" w:space="0" w:color="auto"/>
        <w:right w:val="none" w:sz="0" w:space="0" w:color="auto"/>
      </w:divBdr>
    </w:div>
    <w:div w:id="654383197">
      <w:bodyDiv w:val="1"/>
      <w:marLeft w:val="0"/>
      <w:marRight w:val="0"/>
      <w:marTop w:val="0"/>
      <w:marBottom w:val="0"/>
      <w:divBdr>
        <w:top w:val="none" w:sz="0" w:space="0" w:color="auto"/>
        <w:left w:val="none" w:sz="0" w:space="0" w:color="auto"/>
        <w:bottom w:val="none" w:sz="0" w:space="0" w:color="auto"/>
        <w:right w:val="none" w:sz="0" w:space="0" w:color="auto"/>
      </w:divBdr>
    </w:div>
    <w:div w:id="672993239">
      <w:bodyDiv w:val="1"/>
      <w:marLeft w:val="0"/>
      <w:marRight w:val="0"/>
      <w:marTop w:val="0"/>
      <w:marBottom w:val="0"/>
      <w:divBdr>
        <w:top w:val="none" w:sz="0" w:space="0" w:color="auto"/>
        <w:left w:val="none" w:sz="0" w:space="0" w:color="auto"/>
        <w:bottom w:val="none" w:sz="0" w:space="0" w:color="auto"/>
        <w:right w:val="none" w:sz="0" w:space="0" w:color="auto"/>
      </w:divBdr>
    </w:div>
    <w:div w:id="1143305643">
      <w:bodyDiv w:val="1"/>
      <w:marLeft w:val="0"/>
      <w:marRight w:val="0"/>
      <w:marTop w:val="0"/>
      <w:marBottom w:val="0"/>
      <w:divBdr>
        <w:top w:val="none" w:sz="0" w:space="0" w:color="auto"/>
        <w:left w:val="none" w:sz="0" w:space="0" w:color="auto"/>
        <w:bottom w:val="none" w:sz="0" w:space="0" w:color="auto"/>
        <w:right w:val="none" w:sz="0" w:space="0" w:color="auto"/>
      </w:divBdr>
    </w:div>
    <w:div w:id="1378121710">
      <w:bodyDiv w:val="1"/>
      <w:marLeft w:val="0"/>
      <w:marRight w:val="0"/>
      <w:marTop w:val="0"/>
      <w:marBottom w:val="0"/>
      <w:divBdr>
        <w:top w:val="none" w:sz="0" w:space="0" w:color="auto"/>
        <w:left w:val="none" w:sz="0" w:space="0" w:color="auto"/>
        <w:bottom w:val="none" w:sz="0" w:space="0" w:color="auto"/>
        <w:right w:val="none" w:sz="0" w:space="0" w:color="auto"/>
      </w:divBdr>
    </w:div>
    <w:div w:id="1396705066">
      <w:bodyDiv w:val="1"/>
      <w:marLeft w:val="0"/>
      <w:marRight w:val="0"/>
      <w:marTop w:val="0"/>
      <w:marBottom w:val="0"/>
      <w:divBdr>
        <w:top w:val="none" w:sz="0" w:space="0" w:color="auto"/>
        <w:left w:val="none" w:sz="0" w:space="0" w:color="auto"/>
        <w:bottom w:val="none" w:sz="0" w:space="0" w:color="auto"/>
        <w:right w:val="none" w:sz="0" w:space="0" w:color="auto"/>
      </w:divBdr>
    </w:div>
    <w:div w:id="1662156737">
      <w:bodyDiv w:val="1"/>
      <w:marLeft w:val="0"/>
      <w:marRight w:val="0"/>
      <w:marTop w:val="0"/>
      <w:marBottom w:val="0"/>
      <w:divBdr>
        <w:top w:val="none" w:sz="0" w:space="0" w:color="auto"/>
        <w:left w:val="none" w:sz="0" w:space="0" w:color="auto"/>
        <w:bottom w:val="none" w:sz="0" w:space="0" w:color="auto"/>
        <w:right w:val="none" w:sz="0" w:space="0" w:color="auto"/>
      </w:divBdr>
    </w:div>
    <w:div w:id="1799838674">
      <w:bodyDiv w:val="1"/>
      <w:marLeft w:val="0"/>
      <w:marRight w:val="0"/>
      <w:marTop w:val="0"/>
      <w:marBottom w:val="0"/>
      <w:divBdr>
        <w:top w:val="none" w:sz="0" w:space="0" w:color="auto"/>
        <w:left w:val="none" w:sz="0" w:space="0" w:color="auto"/>
        <w:bottom w:val="none" w:sz="0" w:space="0" w:color="auto"/>
        <w:right w:val="none" w:sz="0" w:space="0" w:color="auto"/>
      </w:divBdr>
    </w:div>
    <w:div w:id="2018996627">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islamansiklopedisi.org.tr/arazi"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emf"/><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png"/><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hyperlink" Target="https://maqam.najah.edu/legislation/16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E7C8F5-7B0B-4FB6-A20B-71BF3DDFD6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8</Pages>
  <Words>4002</Words>
  <Characters>22817</Characters>
  <Application>Microsoft Office Word</Application>
  <DocSecurity>0</DocSecurity>
  <Lines>190</Lines>
  <Paragraphs>53</Paragraphs>
  <ScaleCrop>false</ScaleCrop>
  <HeadingPairs>
    <vt:vector size="4" baseType="variant">
      <vt:variant>
        <vt:lpstr>Title</vt:lpstr>
      </vt:variant>
      <vt:variant>
        <vt:i4>1</vt:i4>
      </vt:variant>
      <vt:variant>
        <vt:lpstr>Konu Başlığı</vt:lpstr>
      </vt:variant>
      <vt:variant>
        <vt:i4>1</vt:i4>
      </vt:variant>
    </vt:vector>
  </HeadingPairs>
  <TitlesOfParts>
    <vt:vector size="2" baseType="lpstr">
      <vt:lpstr/>
      <vt:lpstr/>
    </vt:vector>
  </TitlesOfParts>
  <Company/>
  <LinksUpToDate>false</LinksUpToDate>
  <CharactersWithSpaces>26766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efe</dc:creator>
  <cp:keywords/>
  <dc:description/>
  <cp:lastModifiedBy>Dr Abdurahman Mohamed</cp:lastModifiedBy>
  <cp:revision>2</cp:revision>
  <dcterms:created xsi:type="dcterms:W3CDTF">2021-12-16T20:03:00Z</dcterms:created>
  <dcterms:modified xsi:type="dcterms:W3CDTF">2021-12-16T20:03:00Z</dcterms:modified>
</cp:coreProperties>
</file>